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462" w:rsidRPr="00847068" w:rsidRDefault="00174A96" w:rsidP="00721462">
      <w:pPr>
        <w:tabs>
          <w:tab w:val="left" w:pos="4962"/>
        </w:tabs>
        <w:ind w:left="4962" w:right="-143"/>
      </w:pPr>
      <w:bookmarkStart w:id="0" w:name="_GoBack"/>
      <w:bookmarkEnd w:id="0"/>
      <w:r>
        <w:rPr>
          <w:lang w:val="uk-UA"/>
        </w:rPr>
        <w:t xml:space="preserve">                                   </w:t>
      </w:r>
      <w:proofErr w:type="spellStart"/>
      <w:r w:rsidR="00721462">
        <w:t>Додаток</w:t>
      </w:r>
      <w:proofErr w:type="spellEnd"/>
      <w:r>
        <w:rPr>
          <w:lang w:val="uk-UA"/>
        </w:rPr>
        <w:t xml:space="preserve"> № </w:t>
      </w:r>
      <w:r w:rsidR="00721462">
        <w:rPr>
          <w:lang w:val="uk-UA"/>
        </w:rPr>
        <w:t>4</w:t>
      </w:r>
    </w:p>
    <w:p w:rsidR="00721462" w:rsidRPr="00847068" w:rsidRDefault="00174A96" w:rsidP="00721462">
      <w:pPr>
        <w:tabs>
          <w:tab w:val="left" w:pos="4962"/>
        </w:tabs>
        <w:ind w:left="4962" w:right="-143"/>
      </w:pPr>
      <w:r>
        <w:rPr>
          <w:lang w:val="uk-UA"/>
        </w:rPr>
        <w:t xml:space="preserve">                         </w:t>
      </w:r>
      <w:r w:rsidR="00721462">
        <w:t xml:space="preserve">до </w:t>
      </w:r>
      <w:r>
        <w:rPr>
          <w:lang w:val="uk-UA"/>
        </w:rPr>
        <w:t>р</w:t>
      </w:r>
      <w:proofErr w:type="spellStart"/>
      <w:r w:rsidR="00721462">
        <w:t>ішення</w:t>
      </w:r>
      <w:proofErr w:type="spellEnd"/>
      <w:r>
        <w:rPr>
          <w:lang w:val="uk-UA"/>
        </w:rPr>
        <w:t xml:space="preserve"> </w:t>
      </w:r>
      <w:proofErr w:type="spellStart"/>
      <w:r w:rsidR="00721462" w:rsidRPr="00847068">
        <w:t>міської</w:t>
      </w:r>
      <w:proofErr w:type="spellEnd"/>
      <w:r w:rsidR="00721462" w:rsidRPr="00847068">
        <w:t xml:space="preserve"> ради</w:t>
      </w:r>
    </w:p>
    <w:p w:rsidR="00721462" w:rsidRPr="00174A96" w:rsidRDefault="00174A96" w:rsidP="00721462">
      <w:pPr>
        <w:tabs>
          <w:tab w:val="left" w:pos="4962"/>
        </w:tabs>
        <w:ind w:left="4962" w:right="-143"/>
        <w:rPr>
          <w:lang w:val="uk-UA"/>
        </w:rPr>
      </w:pPr>
      <w:r>
        <w:rPr>
          <w:lang w:val="uk-UA"/>
        </w:rPr>
        <w:t xml:space="preserve">                         </w:t>
      </w:r>
      <w:proofErr w:type="spellStart"/>
      <w:r>
        <w:t>від</w:t>
      </w:r>
      <w:proofErr w:type="spellEnd"/>
      <w:r>
        <w:t xml:space="preserve"> </w:t>
      </w:r>
      <w:r>
        <w:rPr>
          <w:lang w:val="uk-UA"/>
        </w:rPr>
        <w:t xml:space="preserve">26.03.2019р. </w:t>
      </w:r>
      <w:r>
        <w:t xml:space="preserve"> №</w:t>
      </w:r>
      <w:r>
        <w:rPr>
          <w:lang w:val="uk-UA"/>
        </w:rPr>
        <w:t xml:space="preserve"> 1262</w:t>
      </w:r>
    </w:p>
    <w:p w:rsidR="00721462" w:rsidRDefault="00721462" w:rsidP="00646AEA">
      <w:pPr>
        <w:jc w:val="center"/>
        <w:rPr>
          <w:b/>
          <w:lang w:val="uk-UA"/>
        </w:rPr>
      </w:pPr>
    </w:p>
    <w:p w:rsidR="00721462" w:rsidRDefault="00721462" w:rsidP="00646AEA">
      <w:pPr>
        <w:jc w:val="center"/>
        <w:rPr>
          <w:b/>
          <w:lang w:val="uk-UA"/>
        </w:rPr>
      </w:pPr>
    </w:p>
    <w:p w:rsidR="00646AEA" w:rsidRDefault="00646AEA" w:rsidP="00646AEA">
      <w:pPr>
        <w:jc w:val="center"/>
        <w:rPr>
          <w:b/>
          <w:lang w:val="uk-UA"/>
        </w:rPr>
      </w:pPr>
      <w:r w:rsidRPr="00646AEA">
        <w:rPr>
          <w:b/>
          <w:lang w:val="uk-UA"/>
        </w:rPr>
        <w:t>Пропозиція щодо розподілу ризиків</w:t>
      </w:r>
    </w:p>
    <w:p w:rsidR="00646AEA" w:rsidRPr="00646AEA" w:rsidRDefault="00646AEA" w:rsidP="00646AEA">
      <w:pPr>
        <w:jc w:val="center"/>
        <w:rPr>
          <w:b/>
          <w:lang w:val="uk-UA"/>
        </w:rPr>
      </w:pPr>
      <w:r w:rsidRPr="00646AEA">
        <w:rPr>
          <w:b/>
          <w:lang w:val="uk-UA"/>
        </w:rPr>
        <w:t>відповідно до результатів аналізу ефективності здійснення державно-приватного партнерства для реалізації</w:t>
      </w:r>
    </w:p>
    <w:p w:rsidR="00646AEA" w:rsidRPr="00646AEA" w:rsidRDefault="00646AEA" w:rsidP="00646AEA">
      <w:pPr>
        <w:jc w:val="center"/>
        <w:rPr>
          <w:b/>
          <w:lang w:val="uk-UA"/>
        </w:rPr>
      </w:pPr>
      <w:r w:rsidRPr="00646AEA">
        <w:rPr>
          <w:b/>
          <w:lang w:val="uk-UA"/>
        </w:rPr>
        <w:t xml:space="preserve">проекту «Створення Центру </w:t>
      </w:r>
      <w:proofErr w:type="spellStart"/>
      <w:r w:rsidRPr="00646AEA">
        <w:rPr>
          <w:b/>
          <w:lang w:val="uk-UA"/>
        </w:rPr>
        <w:t>малоінвазивної</w:t>
      </w:r>
      <w:proofErr w:type="spellEnd"/>
      <w:r w:rsidRPr="00646AEA">
        <w:rPr>
          <w:b/>
          <w:lang w:val="uk-UA"/>
        </w:rPr>
        <w:t xml:space="preserve"> хірургії</w:t>
      </w:r>
    </w:p>
    <w:p w:rsidR="00646AEA" w:rsidRPr="00646AEA" w:rsidRDefault="00646AEA" w:rsidP="00646AEA">
      <w:pPr>
        <w:jc w:val="center"/>
        <w:rPr>
          <w:b/>
          <w:lang w:val="uk-UA"/>
        </w:rPr>
      </w:pPr>
      <w:r w:rsidRPr="00646AEA">
        <w:rPr>
          <w:b/>
          <w:lang w:val="uk-UA"/>
        </w:rPr>
        <w:t>(</w:t>
      </w:r>
      <w:proofErr w:type="spellStart"/>
      <w:r w:rsidRPr="00646AEA">
        <w:rPr>
          <w:b/>
          <w:lang w:val="uk-UA"/>
        </w:rPr>
        <w:t>малоінвазивні</w:t>
      </w:r>
      <w:proofErr w:type="spellEnd"/>
      <w:r w:rsidRPr="00646AEA">
        <w:rPr>
          <w:b/>
          <w:lang w:val="uk-UA"/>
        </w:rPr>
        <w:t xml:space="preserve"> оперативні втручання</w:t>
      </w:r>
    </w:p>
    <w:p w:rsidR="00646AEA" w:rsidRPr="00646AEA" w:rsidRDefault="00646AEA" w:rsidP="00646AEA">
      <w:pPr>
        <w:jc w:val="center"/>
        <w:rPr>
          <w:b/>
          <w:lang w:val="uk-UA"/>
        </w:rPr>
      </w:pPr>
      <w:r w:rsidRPr="00646AEA">
        <w:rPr>
          <w:b/>
          <w:lang w:val="uk-UA"/>
        </w:rPr>
        <w:t>в хірургії, урології, гінекології та проктології)»</w:t>
      </w:r>
    </w:p>
    <w:p w:rsidR="00646AEA" w:rsidRDefault="00646AEA" w:rsidP="00646AEA">
      <w:pPr>
        <w:jc w:val="center"/>
        <w:rPr>
          <w:b/>
          <w:lang w:val="uk-UA"/>
        </w:rPr>
      </w:pPr>
      <w:r w:rsidRPr="00646AEA">
        <w:rPr>
          <w:b/>
          <w:lang w:val="uk-UA"/>
        </w:rPr>
        <w:t>по вул. Данилишиних, 62 у м. Трускавці»</w:t>
      </w:r>
    </w:p>
    <w:p w:rsidR="00646AEA" w:rsidRDefault="00646AEA" w:rsidP="00646AEA">
      <w:pPr>
        <w:jc w:val="center"/>
        <w:rPr>
          <w:b/>
          <w:lang w:val="uk-UA"/>
        </w:rPr>
      </w:pPr>
    </w:p>
    <w:p w:rsidR="008021D3" w:rsidRPr="00046514" w:rsidRDefault="008021D3" w:rsidP="008021D3">
      <w:pPr>
        <w:tabs>
          <w:tab w:val="left" w:pos="993"/>
        </w:tabs>
        <w:jc w:val="both"/>
        <w:rPr>
          <w:lang w:val="uk-UA"/>
        </w:rPr>
      </w:pPr>
      <w:bookmarkStart w:id="1" w:name="_Toc529124946"/>
      <w:r w:rsidRPr="00046514">
        <w:rPr>
          <w:b/>
          <w:lang w:val="uk-UA"/>
        </w:rPr>
        <w:t xml:space="preserve">Таблиця </w:t>
      </w:r>
      <w:r>
        <w:rPr>
          <w:b/>
          <w:lang w:val="uk-UA"/>
        </w:rPr>
        <w:t>1</w:t>
      </w:r>
      <w:r w:rsidRPr="00046514">
        <w:rPr>
          <w:b/>
          <w:lang w:val="uk-UA"/>
        </w:rPr>
        <w:t>.Методи управління ризиками</w:t>
      </w:r>
      <w:bookmarkEnd w:id="1"/>
    </w:p>
    <w:p w:rsidR="008021D3" w:rsidRPr="00046514" w:rsidRDefault="008021D3" w:rsidP="008021D3">
      <w:pPr>
        <w:tabs>
          <w:tab w:val="left" w:pos="993"/>
        </w:tabs>
        <w:ind w:firstLine="567"/>
        <w:jc w:val="center"/>
        <w:rPr>
          <w:lang w:val="uk-UA"/>
        </w:rPr>
      </w:pPr>
    </w:p>
    <w:tbl>
      <w:tblPr>
        <w:tblStyle w:val="5tinkleliolenteltamsi2parykinimas11"/>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987"/>
        <w:gridCol w:w="1596"/>
        <w:gridCol w:w="5004"/>
      </w:tblGrid>
      <w:tr w:rsidR="008021D3" w:rsidRPr="00046514" w:rsidTr="009B3E03">
        <w:trPr>
          <w:cnfStyle w:val="100000000000"/>
        </w:trPr>
        <w:tc>
          <w:tcPr>
            <w:cnfStyle w:val="001000000000"/>
            <w:tcW w:w="411" w:type="pct"/>
            <w:tcBorders>
              <w:top w:val="none" w:sz="0" w:space="0" w:color="auto"/>
              <w:left w:val="none" w:sz="0" w:space="0" w:color="auto"/>
              <w:right w:val="none" w:sz="0" w:space="0" w:color="auto"/>
            </w:tcBorders>
            <w:shd w:val="clear" w:color="auto" w:fill="auto"/>
          </w:tcPr>
          <w:p w:rsidR="008021D3" w:rsidRPr="00046514" w:rsidRDefault="008021D3" w:rsidP="006A3540">
            <w:pPr>
              <w:ind w:right="-849" w:firstLine="34"/>
              <w:jc w:val="center"/>
              <w:rPr>
                <w:color w:val="auto"/>
                <w:sz w:val="22"/>
                <w:szCs w:val="22"/>
                <w:lang w:val="uk-UA"/>
              </w:rPr>
            </w:pPr>
            <w:r w:rsidRPr="00046514">
              <w:rPr>
                <w:color w:val="auto"/>
                <w:sz w:val="22"/>
                <w:szCs w:val="22"/>
                <w:lang w:val="uk-UA"/>
              </w:rPr>
              <w:t>№ п/п</w:t>
            </w:r>
          </w:p>
        </w:tc>
        <w:tc>
          <w:tcPr>
            <w:tcW w:w="1062" w:type="pct"/>
            <w:tcBorders>
              <w:top w:val="none" w:sz="0" w:space="0" w:color="auto"/>
              <w:left w:val="none" w:sz="0" w:space="0" w:color="auto"/>
              <w:right w:val="none" w:sz="0" w:space="0" w:color="auto"/>
            </w:tcBorders>
            <w:shd w:val="clear" w:color="auto" w:fill="auto"/>
          </w:tcPr>
          <w:p w:rsidR="008021D3" w:rsidRPr="00046514" w:rsidRDefault="008021D3" w:rsidP="006A3540">
            <w:pPr>
              <w:jc w:val="center"/>
              <w:cnfStyle w:val="100000000000"/>
              <w:rPr>
                <w:color w:val="auto"/>
                <w:sz w:val="22"/>
                <w:szCs w:val="22"/>
                <w:lang w:val="uk-UA"/>
              </w:rPr>
            </w:pPr>
            <w:r w:rsidRPr="00046514">
              <w:rPr>
                <w:color w:val="auto"/>
                <w:sz w:val="22"/>
                <w:szCs w:val="22"/>
                <w:lang w:val="uk-UA"/>
              </w:rPr>
              <w:t>Категорія ризику</w:t>
            </w:r>
          </w:p>
        </w:tc>
        <w:tc>
          <w:tcPr>
            <w:tcW w:w="853" w:type="pct"/>
            <w:tcBorders>
              <w:top w:val="none" w:sz="0" w:space="0" w:color="auto"/>
              <w:left w:val="none" w:sz="0" w:space="0" w:color="auto"/>
              <w:right w:val="none" w:sz="0" w:space="0" w:color="auto"/>
            </w:tcBorders>
            <w:shd w:val="clear" w:color="auto" w:fill="auto"/>
          </w:tcPr>
          <w:p w:rsidR="008021D3" w:rsidRPr="00046514" w:rsidRDefault="008021D3" w:rsidP="006A3540">
            <w:pPr>
              <w:ind w:hanging="25"/>
              <w:jc w:val="center"/>
              <w:cnfStyle w:val="100000000000"/>
              <w:rPr>
                <w:color w:val="auto"/>
                <w:sz w:val="22"/>
                <w:szCs w:val="22"/>
                <w:lang w:val="uk-UA"/>
              </w:rPr>
            </w:pPr>
            <w:r w:rsidRPr="00046514">
              <w:rPr>
                <w:color w:val="auto"/>
                <w:sz w:val="22"/>
                <w:szCs w:val="22"/>
                <w:lang w:val="uk-UA"/>
              </w:rPr>
              <w:t>Заходи</w:t>
            </w:r>
          </w:p>
        </w:tc>
        <w:tc>
          <w:tcPr>
            <w:tcW w:w="2673" w:type="pct"/>
            <w:tcBorders>
              <w:top w:val="none" w:sz="0" w:space="0" w:color="auto"/>
              <w:left w:val="none" w:sz="0" w:space="0" w:color="auto"/>
              <w:right w:val="none" w:sz="0" w:space="0" w:color="auto"/>
            </w:tcBorders>
            <w:shd w:val="clear" w:color="auto" w:fill="auto"/>
          </w:tcPr>
          <w:p w:rsidR="008021D3" w:rsidRPr="00046514" w:rsidRDefault="008021D3" w:rsidP="006A3540">
            <w:pPr>
              <w:ind w:hanging="9"/>
              <w:jc w:val="center"/>
              <w:cnfStyle w:val="100000000000"/>
              <w:rPr>
                <w:color w:val="auto"/>
                <w:sz w:val="22"/>
                <w:szCs w:val="22"/>
                <w:lang w:val="uk-UA"/>
              </w:rPr>
            </w:pPr>
            <w:r w:rsidRPr="00046514">
              <w:rPr>
                <w:color w:val="auto"/>
                <w:sz w:val="22"/>
                <w:szCs w:val="22"/>
                <w:lang w:val="uk-UA"/>
              </w:rPr>
              <w:t>Метод управління</w:t>
            </w:r>
          </w:p>
        </w:tc>
      </w:tr>
      <w:tr w:rsidR="008021D3" w:rsidRPr="00046514" w:rsidTr="009B3E03">
        <w:trPr>
          <w:cnfStyle w:val="000000100000"/>
        </w:trPr>
        <w:tc>
          <w:tcPr>
            <w:cnfStyle w:val="001000000000"/>
            <w:tcW w:w="411" w:type="pct"/>
            <w:tcBorders>
              <w:left w:val="none" w:sz="0" w:space="0" w:color="auto"/>
            </w:tcBorders>
            <w:shd w:val="clear" w:color="auto" w:fill="auto"/>
          </w:tcPr>
          <w:p w:rsidR="008021D3" w:rsidRPr="00046514" w:rsidRDefault="008021D3" w:rsidP="006A3540">
            <w:pPr>
              <w:spacing w:after="200" w:line="276" w:lineRule="auto"/>
              <w:ind w:right="-849" w:firstLine="34"/>
              <w:jc w:val="both"/>
              <w:rPr>
                <w:color w:val="auto"/>
                <w:sz w:val="22"/>
                <w:szCs w:val="22"/>
                <w:lang w:val="uk-UA"/>
              </w:rPr>
            </w:pPr>
            <w:r w:rsidRPr="00046514">
              <w:rPr>
                <w:color w:val="auto"/>
                <w:sz w:val="22"/>
                <w:szCs w:val="22"/>
                <w:lang w:val="uk-UA"/>
              </w:rPr>
              <w:t>1.</w:t>
            </w:r>
          </w:p>
        </w:tc>
        <w:tc>
          <w:tcPr>
            <w:tcW w:w="1062" w:type="pct"/>
            <w:shd w:val="clear" w:color="auto" w:fill="auto"/>
          </w:tcPr>
          <w:p w:rsidR="008021D3" w:rsidRPr="00046514" w:rsidRDefault="008021D3" w:rsidP="006A3540">
            <w:pPr>
              <w:spacing w:after="200" w:line="276" w:lineRule="auto"/>
              <w:cnfStyle w:val="000000100000"/>
              <w:rPr>
                <w:sz w:val="22"/>
                <w:szCs w:val="22"/>
                <w:lang w:val="uk-UA"/>
              </w:rPr>
            </w:pPr>
            <w:r w:rsidRPr="00046514">
              <w:rPr>
                <w:sz w:val="22"/>
                <w:szCs w:val="22"/>
                <w:lang w:val="uk-UA"/>
              </w:rPr>
              <w:t xml:space="preserve">Ризик </w:t>
            </w:r>
            <w:proofErr w:type="spellStart"/>
            <w:r w:rsidRPr="00046514">
              <w:rPr>
                <w:sz w:val="22"/>
                <w:szCs w:val="22"/>
                <w:lang w:val="uk-UA"/>
              </w:rPr>
              <w:t>незавершення</w:t>
            </w:r>
            <w:proofErr w:type="spellEnd"/>
            <w:r w:rsidRPr="00046514">
              <w:rPr>
                <w:sz w:val="22"/>
                <w:szCs w:val="22"/>
                <w:lang w:val="uk-UA"/>
              </w:rPr>
              <w:t xml:space="preserve"> будівництва</w:t>
            </w:r>
          </w:p>
        </w:tc>
        <w:tc>
          <w:tcPr>
            <w:tcW w:w="853" w:type="pct"/>
            <w:shd w:val="clear" w:color="auto" w:fill="auto"/>
          </w:tcPr>
          <w:p w:rsidR="008021D3" w:rsidRPr="00046514" w:rsidRDefault="008021D3" w:rsidP="006A3540">
            <w:pPr>
              <w:spacing w:after="200" w:line="276" w:lineRule="auto"/>
              <w:ind w:hanging="25"/>
              <w:jc w:val="center"/>
              <w:cnfStyle w:val="000000100000"/>
              <w:rPr>
                <w:bCs/>
                <w:sz w:val="22"/>
                <w:szCs w:val="22"/>
                <w:lang w:val="uk-UA"/>
              </w:rPr>
            </w:pPr>
          </w:p>
        </w:tc>
        <w:tc>
          <w:tcPr>
            <w:tcW w:w="2673" w:type="pct"/>
            <w:shd w:val="clear" w:color="auto" w:fill="auto"/>
            <w:vAlign w:val="bottom"/>
          </w:tcPr>
          <w:p w:rsidR="008021D3" w:rsidRPr="00046514" w:rsidRDefault="008021D3" w:rsidP="006A3540">
            <w:pPr>
              <w:spacing w:after="200" w:line="276" w:lineRule="auto"/>
              <w:ind w:hanging="9"/>
              <w:jc w:val="center"/>
              <w:cnfStyle w:val="000000100000"/>
              <w:rPr>
                <w:bCs/>
                <w:sz w:val="22"/>
                <w:szCs w:val="22"/>
                <w:lang w:val="uk-UA"/>
              </w:rPr>
            </w:pPr>
          </w:p>
        </w:tc>
      </w:tr>
      <w:tr w:rsidR="008021D3" w:rsidRPr="00174A96" w:rsidTr="009B3E03">
        <w:tc>
          <w:tcPr>
            <w:cnfStyle w:val="001000000000"/>
            <w:tcW w:w="411" w:type="pct"/>
            <w:tcBorders>
              <w:left w:val="none" w:sz="0" w:space="0" w:color="auto"/>
            </w:tcBorders>
            <w:shd w:val="clear" w:color="auto" w:fill="auto"/>
          </w:tcPr>
          <w:p w:rsidR="008021D3" w:rsidRPr="00046514" w:rsidRDefault="008021D3" w:rsidP="006A3540">
            <w:pPr>
              <w:spacing w:after="200" w:line="276" w:lineRule="auto"/>
              <w:ind w:right="-849" w:firstLine="34"/>
              <w:jc w:val="both"/>
              <w:rPr>
                <w:color w:val="auto"/>
                <w:sz w:val="22"/>
                <w:szCs w:val="22"/>
                <w:lang w:val="uk-UA"/>
              </w:rPr>
            </w:pPr>
            <w:r w:rsidRPr="00046514">
              <w:rPr>
                <w:color w:val="auto"/>
                <w:sz w:val="22"/>
                <w:szCs w:val="22"/>
                <w:lang w:val="uk-UA"/>
              </w:rPr>
              <w:t>1.1.</w:t>
            </w:r>
          </w:p>
        </w:tc>
        <w:tc>
          <w:tcPr>
            <w:tcW w:w="1062" w:type="pct"/>
            <w:shd w:val="clear" w:color="auto" w:fill="auto"/>
          </w:tcPr>
          <w:p w:rsidR="008021D3" w:rsidRPr="00046514" w:rsidRDefault="008021D3" w:rsidP="006A3540">
            <w:pPr>
              <w:spacing w:after="200" w:line="276" w:lineRule="auto"/>
              <w:cnfStyle w:val="000000000000"/>
              <w:rPr>
                <w:sz w:val="22"/>
                <w:szCs w:val="22"/>
                <w:lang w:val="uk-UA"/>
              </w:rPr>
            </w:pPr>
            <w:r w:rsidRPr="00046514">
              <w:rPr>
                <w:sz w:val="22"/>
                <w:szCs w:val="22"/>
                <w:lang w:val="uk-UA"/>
              </w:rPr>
              <w:t>Помилки проектування</w:t>
            </w:r>
          </w:p>
        </w:tc>
        <w:tc>
          <w:tcPr>
            <w:tcW w:w="853" w:type="pct"/>
            <w:shd w:val="clear" w:color="auto" w:fill="auto"/>
          </w:tcPr>
          <w:p w:rsidR="008021D3" w:rsidRPr="00046514" w:rsidRDefault="008021D3" w:rsidP="006A3540">
            <w:pPr>
              <w:spacing w:after="200" w:line="276" w:lineRule="auto"/>
              <w:ind w:hanging="25"/>
              <w:jc w:val="both"/>
              <w:cnfStyle w:val="000000000000"/>
              <w:rPr>
                <w:bCs/>
                <w:sz w:val="22"/>
                <w:szCs w:val="22"/>
                <w:lang w:val="uk-UA"/>
              </w:rPr>
            </w:pPr>
            <w:r w:rsidRPr="00046514">
              <w:rPr>
                <w:bCs/>
                <w:sz w:val="22"/>
                <w:szCs w:val="22"/>
                <w:lang w:val="uk-UA"/>
              </w:rPr>
              <w:t>Передання підряднику</w:t>
            </w:r>
          </w:p>
        </w:tc>
        <w:tc>
          <w:tcPr>
            <w:tcW w:w="2673" w:type="pct"/>
            <w:shd w:val="clear" w:color="auto" w:fill="auto"/>
            <w:vAlign w:val="bottom"/>
          </w:tcPr>
          <w:p w:rsidR="008021D3" w:rsidRPr="00046514" w:rsidRDefault="008021D3" w:rsidP="009B3E03">
            <w:pPr>
              <w:spacing w:after="200" w:line="276" w:lineRule="auto"/>
              <w:ind w:hanging="9"/>
              <w:jc w:val="both"/>
              <w:cnfStyle w:val="000000000000"/>
              <w:rPr>
                <w:bCs/>
                <w:sz w:val="22"/>
                <w:szCs w:val="22"/>
                <w:lang w:val="uk-UA"/>
              </w:rPr>
            </w:pPr>
            <w:r w:rsidRPr="00046514">
              <w:rPr>
                <w:sz w:val="22"/>
                <w:szCs w:val="22"/>
                <w:lang w:val="uk-UA"/>
              </w:rPr>
              <w:t xml:space="preserve">Ризиком можна управляти, забезпечуючи: високоякісну підготовку проектного завдання з наданням умов підключення комунальних послуг та особливих вимог ще до початку проектування; встановлюючи високі кваліфікаційні вимоги для проектантів із зазначенням точних проектних пропозицій та проведенням обов'язкової експертизи технічного проекту. Крім того, краще управління ризиками забезпечується обов'язковим страхуванням професійного ризику виконавців технічних креслень. Важливо зазначити, що цей Проект є унікальним не лише через його інженерну складність, але також через місце його виконання, тобто Лікарню, зона якої є особливою з точки зору санітарно-гігієнічних вимог, а також спеціальних вимог, передбачених гігієнічними стандартами. </w:t>
            </w:r>
          </w:p>
        </w:tc>
      </w:tr>
      <w:tr w:rsidR="008021D3" w:rsidRPr="00046514" w:rsidTr="009B3E03">
        <w:trPr>
          <w:cnfStyle w:val="000000100000"/>
        </w:trPr>
        <w:tc>
          <w:tcPr>
            <w:cnfStyle w:val="001000000000"/>
            <w:tcW w:w="411" w:type="pct"/>
            <w:tcBorders>
              <w:left w:val="none" w:sz="0" w:space="0" w:color="auto"/>
            </w:tcBorders>
            <w:shd w:val="clear" w:color="auto" w:fill="auto"/>
          </w:tcPr>
          <w:p w:rsidR="008021D3" w:rsidRPr="00046514" w:rsidRDefault="008021D3" w:rsidP="006A3540">
            <w:pPr>
              <w:spacing w:after="200" w:line="276" w:lineRule="auto"/>
              <w:ind w:right="-849" w:firstLine="34"/>
              <w:jc w:val="both"/>
              <w:rPr>
                <w:color w:val="auto"/>
                <w:sz w:val="22"/>
                <w:szCs w:val="22"/>
                <w:lang w:val="uk-UA"/>
              </w:rPr>
            </w:pPr>
            <w:r w:rsidRPr="00046514">
              <w:rPr>
                <w:color w:val="auto"/>
                <w:sz w:val="22"/>
                <w:szCs w:val="22"/>
                <w:lang w:val="uk-UA"/>
              </w:rPr>
              <w:t>1.2.</w:t>
            </w:r>
          </w:p>
        </w:tc>
        <w:tc>
          <w:tcPr>
            <w:tcW w:w="1062" w:type="pct"/>
            <w:shd w:val="clear" w:color="auto" w:fill="auto"/>
          </w:tcPr>
          <w:p w:rsidR="008021D3" w:rsidRPr="00046514" w:rsidRDefault="008021D3" w:rsidP="006A3540">
            <w:pPr>
              <w:spacing w:after="200" w:line="276" w:lineRule="auto"/>
              <w:cnfStyle w:val="000000100000"/>
              <w:rPr>
                <w:sz w:val="22"/>
                <w:szCs w:val="22"/>
                <w:lang w:val="uk-UA"/>
              </w:rPr>
            </w:pPr>
            <w:r w:rsidRPr="00046514">
              <w:rPr>
                <w:sz w:val="22"/>
                <w:szCs w:val="22"/>
                <w:lang w:val="uk-UA"/>
              </w:rPr>
              <w:t>Затримки у виконанні будівельних робіт та постачанні обладнання</w:t>
            </w:r>
          </w:p>
        </w:tc>
        <w:tc>
          <w:tcPr>
            <w:tcW w:w="853" w:type="pct"/>
            <w:shd w:val="clear" w:color="auto" w:fill="auto"/>
          </w:tcPr>
          <w:p w:rsidR="008021D3" w:rsidRPr="00046514" w:rsidRDefault="008021D3" w:rsidP="006A3540">
            <w:pPr>
              <w:spacing w:after="200" w:line="276" w:lineRule="auto"/>
              <w:ind w:hanging="25"/>
              <w:jc w:val="both"/>
              <w:cnfStyle w:val="000000100000"/>
              <w:rPr>
                <w:bCs/>
                <w:sz w:val="22"/>
                <w:szCs w:val="22"/>
                <w:lang w:val="uk-UA"/>
              </w:rPr>
            </w:pPr>
            <w:r w:rsidRPr="00046514">
              <w:rPr>
                <w:bCs/>
                <w:sz w:val="22"/>
                <w:szCs w:val="22"/>
                <w:lang w:val="uk-UA"/>
              </w:rPr>
              <w:t>Передання підряднику</w:t>
            </w:r>
          </w:p>
        </w:tc>
        <w:tc>
          <w:tcPr>
            <w:tcW w:w="2673" w:type="pct"/>
            <w:shd w:val="clear" w:color="auto" w:fill="auto"/>
            <w:vAlign w:val="bottom"/>
          </w:tcPr>
          <w:p w:rsidR="008021D3" w:rsidRPr="00046514" w:rsidRDefault="008021D3" w:rsidP="009B3E03">
            <w:pPr>
              <w:spacing w:after="200" w:line="276" w:lineRule="auto"/>
              <w:ind w:hanging="9"/>
              <w:jc w:val="both"/>
              <w:cnfStyle w:val="000000100000"/>
              <w:rPr>
                <w:bCs/>
                <w:sz w:val="22"/>
                <w:szCs w:val="22"/>
                <w:lang w:val="uk-UA"/>
              </w:rPr>
            </w:pPr>
            <w:r w:rsidRPr="00046514">
              <w:rPr>
                <w:sz w:val="22"/>
                <w:szCs w:val="22"/>
                <w:lang w:val="uk-UA"/>
              </w:rPr>
              <w:t xml:space="preserve">Перш за все, всі необхідні дозволи та погодження повинні узгоджуватися ще до початку будівництва. Ризик компетенції управляється за рахунок створення більших груп працівників і запровадженням штрафних санкцій для підрядника за затримки. Такі штрафні санкції мають включатися до контракту. </w:t>
            </w:r>
          </w:p>
        </w:tc>
      </w:tr>
      <w:tr w:rsidR="008021D3" w:rsidRPr="00046514" w:rsidTr="009B3E03">
        <w:tc>
          <w:tcPr>
            <w:cnfStyle w:val="001000000000"/>
            <w:tcW w:w="411" w:type="pct"/>
            <w:tcBorders>
              <w:left w:val="none" w:sz="0" w:space="0" w:color="auto"/>
            </w:tcBorders>
            <w:shd w:val="clear" w:color="auto" w:fill="auto"/>
          </w:tcPr>
          <w:p w:rsidR="008021D3" w:rsidRPr="00046514" w:rsidRDefault="008021D3" w:rsidP="006A3540">
            <w:pPr>
              <w:spacing w:after="200" w:line="276" w:lineRule="auto"/>
              <w:ind w:right="-849" w:firstLine="34"/>
              <w:jc w:val="both"/>
              <w:rPr>
                <w:color w:val="auto"/>
                <w:sz w:val="22"/>
                <w:szCs w:val="22"/>
                <w:lang w:val="uk-UA"/>
              </w:rPr>
            </w:pPr>
            <w:r w:rsidRPr="00046514">
              <w:rPr>
                <w:color w:val="auto"/>
                <w:sz w:val="22"/>
                <w:szCs w:val="22"/>
                <w:lang w:val="uk-UA"/>
              </w:rPr>
              <w:t>1.3.</w:t>
            </w:r>
          </w:p>
        </w:tc>
        <w:tc>
          <w:tcPr>
            <w:tcW w:w="1062" w:type="pct"/>
            <w:shd w:val="clear" w:color="auto" w:fill="auto"/>
          </w:tcPr>
          <w:p w:rsidR="008021D3" w:rsidRPr="00046514" w:rsidRDefault="008021D3" w:rsidP="006A3540">
            <w:pPr>
              <w:spacing w:after="200" w:line="276" w:lineRule="auto"/>
              <w:cnfStyle w:val="000000000000"/>
              <w:rPr>
                <w:sz w:val="22"/>
                <w:szCs w:val="22"/>
                <w:lang w:val="uk-UA"/>
              </w:rPr>
            </w:pPr>
            <w:r w:rsidRPr="00046514">
              <w:rPr>
                <w:sz w:val="22"/>
                <w:szCs w:val="22"/>
                <w:lang w:val="uk-UA"/>
              </w:rPr>
              <w:t>Невідповідність будівельних робіт законодавчо-нормативним вимогам</w:t>
            </w:r>
          </w:p>
        </w:tc>
        <w:tc>
          <w:tcPr>
            <w:tcW w:w="853" w:type="pct"/>
            <w:shd w:val="clear" w:color="auto" w:fill="auto"/>
          </w:tcPr>
          <w:p w:rsidR="008021D3" w:rsidRPr="00046514" w:rsidRDefault="008021D3" w:rsidP="006A3540">
            <w:pPr>
              <w:spacing w:after="200" w:line="276" w:lineRule="auto"/>
              <w:ind w:hanging="25"/>
              <w:jc w:val="both"/>
              <w:cnfStyle w:val="000000000000"/>
              <w:rPr>
                <w:bCs/>
                <w:sz w:val="22"/>
                <w:szCs w:val="22"/>
                <w:lang w:val="uk-UA"/>
              </w:rPr>
            </w:pPr>
            <w:r w:rsidRPr="00046514">
              <w:rPr>
                <w:bCs/>
                <w:sz w:val="22"/>
                <w:szCs w:val="22"/>
                <w:lang w:val="uk-UA"/>
              </w:rPr>
              <w:t>Передання підряднику</w:t>
            </w:r>
          </w:p>
        </w:tc>
        <w:tc>
          <w:tcPr>
            <w:tcW w:w="2673" w:type="pct"/>
            <w:shd w:val="clear" w:color="auto" w:fill="auto"/>
            <w:vAlign w:val="bottom"/>
          </w:tcPr>
          <w:p w:rsidR="008021D3" w:rsidRPr="00046514" w:rsidRDefault="008021D3" w:rsidP="006A3540">
            <w:pPr>
              <w:spacing w:after="200" w:line="276" w:lineRule="auto"/>
              <w:ind w:hanging="9"/>
              <w:jc w:val="both"/>
              <w:cnfStyle w:val="000000000000"/>
              <w:rPr>
                <w:bCs/>
                <w:sz w:val="22"/>
                <w:szCs w:val="22"/>
                <w:lang w:val="uk-UA"/>
              </w:rPr>
            </w:pPr>
            <w:r w:rsidRPr="00046514">
              <w:rPr>
                <w:sz w:val="22"/>
                <w:szCs w:val="22"/>
                <w:lang w:val="uk-UA"/>
              </w:rPr>
              <w:t xml:space="preserve">Для цілей управління цим ризиком підрядник зобов'язується застрахувати себе від будівельних ризиків, прописати у договорі процедури реєстрації невідповідності будівельних робіт нормативним вимогам та стандартам, також </w:t>
            </w:r>
            <w:r w:rsidRPr="00046514">
              <w:rPr>
                <w:sz w:val="22"/>
                <w:szCs w:val="22"/>
                <w:lang w:val="uk-UA"/>
              </w:rPr>
              <w:lastRenderedPageBreak/>
              <w:t>усунення недоліків та притягнення до відповідальності. Необхідно організувати та забезпечити професійний нагляд за виконанням Проекту та експлуатацією. Для основної частини Проекту можна просто застосувати досвід виконання попередніх проектів. Управління ризиком невідповідності будівельних робіт регуляторним вимогам і стандартам забезпечується через запровадження обов'язку підрядника самостійно та власним коштом усувати недоробки за Проектом.</w:t>
            </w:r>
          </w:p>
        </w:tc>
      </w:tr>
      <w:tr w:rsidR="008021D3" w:rsidRPr="00046514" w:rsidTr="009B3E03">
        <w:trPr>
          <w:cnfStyle w:val="000000100000"/>
        </w:trPr>
        <w:tc>
          <w:tcPr>
            <w:cnfStyle w:val="001000000000"/>
            <w:tcW w:w="411" w:type="pct"/>
            <w:tcBorders>
              <w:left w:val="none" w:sz="0" w:space="0" w:color="auto"/>
              <w:bottom w:val="none" w:sz="0" w:space="0" w:color="auto"/>
            </w:tcBorders>
            <w:shd w:val="clear" w:color="auto" w:fill="auto"/>
          </w:tcPr>
          <w:p w:rsidR="008021D3" w:rsidRPr="00046514" w:rsidRDefault="008021D3" w:rsidP="006A3540">
            <w:pPr>
              <w:spacing w:after="200" w:line="276" w:lineRule="auto"/>
              <w:ind w:right="-849" w:firstLine="34"/>
              <w:jc w:val="both"/>
              <w:rPr>
                <w:color w:val="auto"/>
                <w:sz w:val="22"/>
                <w:szCs w:val="22"/>
                <w:lang w:val="uk-UA"/>
              </w:rPr>
            </w:pPr>
            <w:r w:rsidRPr="00046514">
              <w:rPr>
                <w:color w:val="auto"/>
                <w:sz w:val="22"/>
                <w:szCs w:val="22"/>
                <w:lang w:val="uk-UA"/>
              </w:rPr>
              <w:lastRenderedPageBreak/>
              <w:t>1.4.</w:t>
            </w:r>
          </w:p>
        </w:tc>
        <w:tc>
          <w:tcPr>
            <w:tcW w:w="1062" w:type="pct"/>
            <w:shd w:val="clear" w:color="auto" w:fill="auto"/>
          </w:tcPr>
          <w:p w:rsidR="008021D3" w:rsidRPr="00046514" w:rsidRDefault="008021D3" w:rsidP="006A3540">
            <w:pPr>
              <w:spacing w:after="200" w:line="276" w:lineRule="auto"/>
              <w:cnfStyle w:val="000000100000"/>
              <w:rPr>
                <w:sz w:val="22"/>
                <w:szCs w:val="22"/>
                <w:lang w:val="uk-UA"/>
              </w:rPr>
            </w:pPr>
            <w:r w:rsidRPr="00046514">
              <w:rPr>
                <w:sz w:val="22"/>
                <w:szCs w:val="22"/>
                <w:lang w:val="uk-UA"/>
              </w:rPr>
              <w:t>Збільшення вартості будівництва та підвищення цін на обладнання</w:t>
            </w:r>
          </w:p>
        </w:tc>
        <w:tc>
          <w:tcPr>
            <w:tcW w:w="853" w:type="pct"/>
            <w:shd w:val="clear" w:color="auto" w:fill="auto"/>
          </w:tcPr>
          <w:p w:rsidR="008021D3" w:rsidRPr="00046514" w:rsidRDefault="008021D3" w:rsidP="006A3540">
            <w:pPr>
              <w:spacing w:after="200" w:line="276" w:lineRule="auto"/>
              <w:ind w:hanging="25"/>
              <w:jc w:val="both"/>
              <w:cnfStyle w:val="000000100000"/>
              <w:rPr>
                <w:bCs/>
                <w:sz w:val="22"/>
                <w:szCs w:val="22"/>
                <w:lang w:val="uk-UA"/>
              </w:rPr>
            </w:pPr>
            <w:r w:rsidRPr="00046514">
              <w:rPr>
                <w:bCs/>
                <w:sz w:val="22"/>
                <w:szCs w:val="22"/>
                <w:lang w:val="uk-UA"/>
              </w:rPr>
              <w:t>Передання  підряднику</w:t>
            </w:r>
          </w:p>
        </w:tc>
        <w:tc>
          <w:tcPr>
            <w:tcW w:w="2673" w:type="pct"/>
            <w:shd w:val="clear" w:color="auto" w:fill="auto"/>
            <w:vAlign w:val="bottom"/>
          </w:tcPr>
          <w:p w:rsidR="008021D3" w:rsidRPr="00046514" w:rsidRDefault="008021D3" w:rsidP="006A3540">
            <w:pPr>
              <w:spacing w:after="200" w:line="276" w:lineRule="auto"/>
              <w:ind w:hanging="9"/>
              <w:jc w:val="both"/>
              <w:cnfStyle w:val="000000100000"/>
              <w:rPr>
                <w:bCs/>
                <w:sz w:val="22"/>
                <w:szCs w:val="22"/>
                <w:lang w:val="uk-UA"/>
              </w:rPr>
            </w:pPr>
            <w:r w:rsidRPr="00046514">
              <w:rPr>
                <w:sz w:val="22"/>
                <w:szCs w:val="22"/>
                <w:lang w:val="uk-UA"/>
              </w:rPr>
              <w:t>Управління цим ризиком може здійснюватися шляхом укладання договорів EPC з фіксованою вартістю, складання детального робочого проекту, надання в останньому раціональних технічних рішень, забезпечення належного контролю за виконанням умов договору, керівництва субпідрядним виконанням, чіткого та однозначного визначення можливостей та способів використання резерву замовника у договорах, визначення випадків та аспектів нормативного регулювання нових технологій, використання прогресивних замовлень товарів і послуг та заходів забезпечення виконання будівельних робіт (страхування).</w:t>
            </w:r>
          </w:p>
        </w:tc>
      </w:tr>
    </w:tbl>
    <w:p w:rsidR="00646AEA" w:rsidRPr="008021D3" w:rsidRDefault="00646AEA" w:rsidP="002525D9">
      <w:pPr>
        <w:jc w:val="both"/>
        <w:rPr>
          <w:b/>
        </w:rPr>
      </w:pPr>
    </w:p>
    <w:p w:rsidR="00C36492" w:rsidRPr="008C5FDE" w:rsidRDefault="00C36492" w:rsidP="009B3E03">
      <w:pPr>
        <w:pStyle w:val="a8"/>
        <w:spacing w:after="0"/>
        <w:ind w:left="0"/>
        <w:rPr>
          <w:sz w:val="22"/>
          <w:szCs w:val="22"/>
          <w:lang w:val="uk-UA"/>
        </w:rPr>
      </w:pPr>
      <w:bookmarkStart w:id="2" w:name="_Toc529124947"/>
      <w:r w:rsidRPr="008C5FDE">
        <w:rPr>
          <w:bCs w:val="0"/>
          <w:sz w:val="22"/>
          <w:szCs w:val="22"/>
          <w:lang w:val="uk-UA"/>
        </w:rPr>
        <w:t>Табл</w:t>
      </w:r>
      <w:r w:rsidR="009B3E03">
        <w:rPr>
          <w:bCs w:val="0"/>
          <w:sz w:val="22"/>
          <w:szCs w:val="22"/>
          <w:lang w:val="uk-UA"/>
        </w:rPr>
        <w:t>иця 2</w:t>
      </w:r>
      <w:r w:rsidRPr="008C5FDE">
        <w:rPr>
          <w:sz w:val="22"/>
          <w:szCs w:val="22"/>
          <w:lang w:val="uk-UA"/>
        </w:rPr>
        <w:t xml:space="preserve">. </w:t>
      </w:r>
      <w:r w:rsidRPr="008C5FDE">
        <w:rPr>
          <w:b w:val="0"/>
          <w:sz w:val="22"/>
          <w:szCs w:val="22"/>
          <w:lang w:val="uk-UA"/>
        </w:rPr>
        <w:t>Модель попереднього розподілу ризиків</w:t>
      </w:r>
      <w:bookmarkEnd w:id="2"/>
    </w:p>
    <w:tbl>
      <w:tblPr>
        <w:tblStyle w:val="5tinkleliolenteltamsi2parykinimas1"/>
        <w:tblW w:w="93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7"/>
        <w:gridCol w:w="1761"/>
        <w:gridCol w:w="1486"/>
        <w:gridCol w:w="1564"/>
      </w:tblGrid>
      <w:tr w:rsidR="00C36492" w:rsidRPr="008C5FDE" w:rsidTr="009B3E03">
        <w:trPr>
          <w:cnfStyle w:val="100000000000"/>
        </w:trPr>
        <w:tc>
          <w:tcPr>
            <w:cnfStyle w:val="001000000000"/>
            <w:tcW w:w="4507" w:type="dxa"/>
            <w:vMerge w:val="restart"/>
            <w:tcBorders>
              <w:top w:val="none" w:sz="0" w:space="0" w:color="auto"/>
              <w:left w:val="none" w:sz="0" w:space="0" w:color="auto"/>
              <w:right w:val="none" w:sz="0" w:space="0" w:color="auto"/>
            </w:tcBorders>
            <w:shd w:val="clear" w:color="auto" w:fill="auto"/>
          </w:tcPr>
          <w:p w:rsidR="00C36492" w:rsidRPr="008C5FDE" w:rsidRDefault="00C36492" w:rsidP="006A3540">
            <w:pPr>
              <w:rPr>
                <w:color w:val="auto"/>
                <w:sz w:val="22"/>
                <w:lang w:val="uk-UA"/>
              </w:rPr>
            </w:pPr>
            <w:r w:rsidRPr="008C5FDE">
              <w:rPr>
                <w:color w:val="auto"/>
                <w:sz w:val="22"/>
                <w:lang w:val="uk-UA"/>
              </w:rPr>
              <w:t>Ризик</w:t>
            </w:r>
          </w:p>
        </w:tc>
        <w:tc>
          <w:tcPr>
            <w:tcW w:w="4811" w:type="dxa"/>
            <w:gridSpan w:val="3"/>
            <w:tcBorders>
              <w:top w:val="none" w:sz="0" w:space="0" w:color="auto"/>
              <w:left w:val="none" w:sz="0" w:space="0" w:color="auto"/>
              <w:right w:val="none" w:sz="0" w:space="0" w:color="auto"/>
            </w:tcBorders>
            <w:shd w:val="clear" w:color="auto" w:fill="auto"/>
          </w:tcPr>
          <w:p w:rsidR="00C36492" w:rsidRPr="008C5FDE" w:rsidRDefault="00C36492" w:rsidP="006A3540">
            <w:pPr>
              <w:jc w:val="center"/>
              <w:cnfStyle w:val="100000000000"/>
              <w:rPr>
                <w:color w:val="auto"/>
                <w:sz w:val="22"/>
                <w:lang w:val="uk-UA"/>
              </w:rPr>
            </w:pPr>
            <w:r w:rsidRPr="008C5FDE">
              <w:rPr>
                <w:color w:val="auto"/>
                <w:sz w:val="22"/>
                <w:lang w:val="uk-UA"/>
              </w:rPr>
              <w:t>Основну частину ризику, або увесь ризик несе:</w:t>
            </w:r>
          </w:p>
        </w:tc>
      </w:tr>
      <w:tr w:rsidR="00C36492" w:rsidRPr="008C5FDE" w:rsidTr="009B3E03">
        <w:trPr>
          <w:cnfStyle w:val="000000100000"/>
        </w:trPr>
        <w:tc>
          <w:tcPr>
            <w:cnfStyle w:val="001000000000"/>
            <w:tcW w:w="4507" w:type="dxa"/>
            <w:vMerge/>
            <w:tcBorders>
              <w:left w:val="none" w:sz="0" w:space="0" w:color="auto"/>
            </w:tcBorders>
            <w:shd w:val="clear" w:color="auto" w:fill="auto"/>
          </w:tcPr>
          <w:p w:rsidR="00C36492" w:rsidRPr="008C5FDE" w:rsidRDefault="00C36492" w:rsidP="006A3540">
            <w:pPr>
              <w:jc w:val="center"/>
              <w:rPr>
                <w:color w:val="auto"/>
                <w:sz w:val="22"/>
                <w:lang w:val="uk-UA"/>
              </w:rPr>
            </w:pPr>
          </w:p>
        </w:tc>
        <w:tc>
          <w:tcPr>
            <w:tcW w:w="1761" w:type="dxa"/>
            <w:shd w:val="clear" w:color="auto" w:fill="auto"/>
          </w:tcPr>
          <w:p w:rsidR="00C36492" w:rsidRPr="008C5FDE" w:rsidRDefault="00C36492" w:rsidP="006A3540">
            <w:pPr>
              <w:jc w:val="center"/>
              <w:cnfStyle w:val="000000100000"/>
              <w:rPr>
                <w:bCs/>
                <w:sz w:val="22"/>
                <w:lang w:val="uk-UA"/>
              </w:rPr>
            </w:pPr>
            <w:r w:rsidRPr="008C5FDE">
              <w:rPr>
                <w:bCs/>
                <w:sz w:val="22"/>
                <w:lang w:val="uk-UA"/>
              </w:rPr>
              <w:t>Приватний сектор</w:t>
            </w:r>
          </w:p>
        </w:tc>
        <w:tc>
          <w:tcPr>
            <w:tcW w:w="1486" w:type="dxa"/>
            <w:shd w:val="clear" w:color="auto" w:fill="auto"/>
          </w:tcPr>
          <w:p w:rsidR="00C36492" w:rsidRPr="008C5FDE" w:rsidRDefault="00C36492" w:rsidP="006A3540">
            <w:pPr>
              <w:jc w:val="center"/>
              <w:cnfStyle w:val="000000100000"/>
              <w:rPr>
                <w:bCs/>
                <w:sz w:val="22"/>
                <w:lang w:val="uk-UA"/>
              </w:rPr>
            </w:pPr>
            <w:r w:rsidRPr="008C5FDE">
              <w:rPr>
                <w:bCs/>
                <w:sz w:val="22"/>
                <w:lang w:val="uk-UA"/>
              </w:rPr>
              <w:t>Спільне несення ризику</w:t>
            </w:r>
          </w:p>
        </w:tc>
        <w:tc>
          <w:tcPr>
            <w:tcW w:w="1564" w:type="dxa"/>
            <w:shd w:val="clear" w:color="auto" w:fill="auto"/>
          </w:tcPr>
          <w:p w:rsidR="00C36492" w:rsidRPr="008C5FDE" w:rsidRDefault="00C36492" w:rsidP="006A3540">
            <w:pPr>
              <w:jc w:val="center"/>
              <w:cnfStyle w:val="000000100000"/>
              <w:rPr>
                <w:bCs/>
                <w:sz w:val="22"/>
                <w:lang w:val="uk-UA"/>
              </w:rPr>
            </w:pPr>
            <w:r w:rsidRPr="008C5FDE">
              <w:rPr>
                <w:bCs/>
                <w:sz w:val="22"/>
                <w:lang w:val="uk-UA"/>
              </w:rPr>
              <w:t>Державний сектор</w:t>
            </w:r>
          </w:p>
        </w:tc>
      </w:tr>
      <w:tr w:rsidR="00C36492" w:rsidRPr="008C5FDE" w:rsidTr="009B3E03">
        <w:tc>
          <w:tcPr>
            <w:cnfStyle w:val="001000000000"/>
            <w:tcW w:w="4507" w:type="dxa"/>
            <w:tcBorders>
              <w:left w:val="none" w:sz="0" w:space="0" w:color="auto"/>
            </w:tcBorders>
            <w:shd w:val="clear" w:color="auto" w:fill="auto"/>
          </w:tcPr>
          <w:p w:rsidR="00C36492" w:rsidRPr="008C5FDE" w:rsidRDefault="00C36492" w:rsidP="006A3540">
            <w:pPr>
              <w:rPr>
                <w:rFonts w:eastAsia="Times New Roman"/>
                <w:b w:val="0"/>
                <w:color w:val="auto"/>
                <w:sz w:val="22"/>
                <w:lang w:val="uk-UA" w:eastAsia="lt-LT"/>
              </w:rPr>
            </w:pPr>
            <w:r w:rsidRPr="008C5FDE">
              <w:rPr>
                <w:rFonts w:eastAsia="Times New Roman"/>
                <w:b w:val="0"/>
                <w:color w:val="auto"/>
                <w:sz w:val="22"/>
                <w:lang w:val="uk-UA" w:eastAsia="lt-LT"/>
              </w:rPr>
              <w:t xml:space="preserve">1. Ризик </w:t>
            </w:r>
            <w:proofErr w:type="spellStart"/>
            <w:r w:rsidRPr="008C5FDE">
              <w:rPr>
                <w:rFonts w:eastAsia="Times New Roman"/>
                <w:b w:val="0"/>
                <w:color w:val="auto"/>
                <w:sz w:val="22"/>
                <w:lang w:val="uk-UA" w:eastAsia="lt-LT"/>
              </w:rPr>
              <w:t>незавершення</w:t>
            </w:r>
            <w:proofErr w:type="spellEnd"/>
            <w:r w:rsidRPr="008C5FDE">
              <w:rPr>
                <w:rFonts w:eastAsia="Times New Roman"/>
                <w:b w:val="0"/>
                <w:color w:val="auto"/>
                <w:sz w:val="22"/>
                <w:lang w:val="uk-UA" w:eastAsia="lt-LT"/>
              </w:rPr>
              <w:t xml:space="preserve"> будівництва</w:t>
            </w:r>
          </w:p>
        </w:tc>
        <w:tc>
          <w:tcPr>
            <w:tcW w:w="1761" w:type="dxa"/>
            <w:shd w:val="clear" w:color="auto" w:fill="auto"/>
          </w:tcPr>
          <w:p w:rsidR="00C36492" w:rsidRPr="008C5FDE" w:rsidRDefault="00C36492" w:rsidP="006A3540">
            <w:pPr>
              <w:jc w:val="center"/>
              <w:cnfStyle w:val="000000000000"/>
              <w:rPr>
                <w:sz w:val="22"/>
                <w:lang w:val="uk-UA"/>
              </w:rPr>
            </w:pPr>
            <w:r w:rsidRPr="008C5FDE">
              <w:rPr>
                <w:sz w:val="22"/>
                <w:lang w:val="uk-UA"/>
              </w:rPr>
              <w:t>X</w:t>
            </w:r>
          </w:p>
        </w:tc>
        <w:tc>
          <w:tcPr>
            <w:tcW w:w="1486" w:type="dxa"/>
            <w:shd w:val="clear" w:color="auto" w:fill="auto"/>
          </w:tcPr>
          <w:p w:rsidR="00C36492" w:rsidRPr="008C5FDE" w:rsidRDefault="00C36492" w:rsidP="006A3540">
            <w:pPr>
              <w:jc w:val="center"/>
              <w:cnfStyle w:val="000000000000"/>
              <w:rPr>
                <w:sz w:val="22"/>
                <w:lang w:val="uk-UA"/>
              </w:rPr>
            </w:pPr>
          </w:p>
        </w:tc>
        <w:tc>
          <w:tcPr>
            <w:tcW w:w="1564" w:type="dxa"/>
            <w:shd w:val="clear" w:color="auto" w:fill="auto"/>
          </w:tcPr>
          <w:p w:rsidR="00C36492" w:rsidRPr="008C5FDE" w:rsidRDefault="00C36492" w:rsidP="006A3540">
            <w:pPr>
              <w:jc w:val="center"/>
              <w:cnfStyle w:val="000000000000"/>
              <w:rPr>
                <w:sz w:val="22"/>
                <w:lang w:val="uk-UA"/>
              </w:rPr>
            </w:pPr>
          </w:p>
        </w:tc>
      </w:tr>
      <w:tr w:rsidR="00C36492" w:rsidRPr="008C5FDE" w:rsidTr="009B3E03">
        <w:trPr>
          <w:cnfStyle w:val="000000100000"/>
        </w:trPr>
        <w:tc>
          <w:tcPr>
            <w:cnfStyle w:val="001000000000"/>
            <w:tcW w:w="4507" w:type="dxa"/>
            <w:tcBorders>
              <w:left w:val="none" w:sz="0" w:space="0" w:color="auto"/>
            </w:tcBorders>
            <w:shd w:val="clear" w:color="auto" w:fill="auto"/>
          </w:tcPr>
          <w:p w:rsidR="00C36492" w:rsidRPr="008C5FDE" w:rsidRDefault="00C36492" w:rsidP="006A3540">
            <w:pPr>
              <w:rPr>
                <w:rFonts w:eastAsia="Times New Roman"/>
                <w:b w:val="0"/>
                <w:color w:val="auto"/>
                <w:sz w:val="22"/>
                <w:lang w:val="uk-UA" w:eastAsia="lt-LT"/>
              </w:rPr>
            </w:pPr>
            <w:r w:rsidRPr="008C5FDE">
              <w:rPr>
                <w:rFonts w:eastAsia="Times New Roman"/>
                <w:b w:val="0"/>
                <w:color w:val="auto"/>
                <w:sz w:val="22"/>
                <w:lang w:val="uk-UA" w:eastAsia="lt-LT"/>
              </w:rPr>
              <w:t xml:space="preserve">2. </w:t>
            </w:r>
            <w:r w:rsidRPr="008C5FDE">
              <w:rPr>
                <w:b w:val="0"/>
                <w:color w:val="auto"/>
                <w:sz w:val="22"/>
                <w:lang w:val="uk-UA" w:eastAsia="lt-LT"/>
              </w:rPr>
              <w:t>Ризики придатності та операційні ризики</w:t>
            </w:r>
          </w:p>
        </w:tc>
        <w:tc>
          <w:tcPr>
            <w:tcW w:w="1761" w:type="dxa"/>
            <w:shd w:val="clear" w:color="auto" w:fill="auto"/>
          </w:tcPr>
          <w:p w:rsidR="00C36492" w:rsidRPr="008C5FDE" w:rsidRDefault="00C36492" w:rsidP="006A3540">
            <w:pPr>
              <w:jc w:val="center"/>
              <w:cnfStyle w:val="000000100000"/>
              <w:rPr>
                <w:sz w:val="22"/>
                <w:lang w:val="uk-UA"/>
              </w:rPr>
            </w:pPr>
            <w:r w:rsidRPr="008C5FDE">
              <w:rPr>
                <w:sz w:val="22"/>
                <w:lang w:val="uk-UA"/>
              </w:rPr>
              <w:t>X</w:t>
            </w:r>
          </w:p>
        </w:tc>
        <w:tc>
          <w:tcPr>
            <w:tcW w:w="1486" w:type="dxa"/>
            <w:shd w:val="clear" w:color="auto" w:fill="auto"/>
          </w:tcPr>
          <w:p w:rsidR="00C36492" w:rsidRPr="008C5FDE" w:rsidRDefault="00C36492" w:rsidP="006A3540">
            <w:pPr>
              <w:jc w:val="center"/>
              <w:cnfStyle w:val="000000100000"/>
              <w:rPr>
                <w:sz w:val="22"/>
                <w:lang w:val="uk-UA"/>
              </w:rPr>
            </w:pPr>
          </w:p>
        </w:tc>
        <w:tc>
          <w:tcPr>
            <w:tcW w:w="1564" w:type="dxa"/>
            <w:shd w:val="clear" w:color="auto" w:fill="auto"/>
          </w:tcPr>
          <w:p w:rsidR="00C36492" w:rsidRPr="008C5FDE" w:rsidRDefault="00C36492" w:rsidP="006A3540">
            <w:pPr>
              <w:jc w:val="center"/>
              <w:cnfStyle w:val="000000100000"/>
              <w:rPr>
                <w:sz w:val="22"/>
                <w:lang w:val="uk-UA"/>
              </w:rPr>
            </w:pPr>
          </w:p>
        </w:tc>
      </w:tr>
      <w:tr w:rsidR="00C36492" w:rsidRPr="008C5FDE" w:rsidTr="009B3E03">
        <w:tc>
          <w:tcPr>
            <w:cnfStyle w:val="001000000000"/>
            <w:tcW w:w="4507" w:type="dxa"/>
            <w:tcBorders>
              <w:left w:val="none" w:sz="0" w:space="0" w:color="auto"/>
            </w:tcBorders>
            <w:shd w:val="clear" w:color="auto" w:fill="auto"/>
          </w:tcPr>
          <w:p w:rsidR="00C36492" w:rsidRPr="008C5FDE" w:rsidRDefault="00C36492" w:rsidP="006A3540">
            <w:pPr>
              <w:rPr>
                <w:rFonts w:eastAsia="Times New Roman"/>
                <w:b w:val="0"/>
                <w:color w:val="auto"/>
                <w:sz w:val="22"/>
                <w:lang w:val="uk-UA" w:eastAsia="lt-LT"/>
              </w:rPr>
            </w:pPr>
            <w:r w:rsidRPr="008C5FDE">
              <w:rPr>
                <w:rFonts w:eastAsia="Times New Roman"/>
                <w:b w:val="0"/>
                <w:color w:val="auto"/>
                <w:sz w:val="22"/>
                <w:lang w:val="uk-UA" w:eastAsia="lt-LT"/>
              </w:rPr>
              <w:t xml:space="preserve">3. </w:t>
            </w:r>
            <w:r w:rsidRPr="008C5FDE">
              <w:rPr>
                <w:b w:val="0"/>
                <w:color w:val="auto"/>
                <w:sz w:val="22"/>
                <w:lang w:val="uk-UA" w:eastAsia="lt-LT"/>
              </w:rPr>
              <w:t>Ризик зміни попиту</w:t>
            </w:r>
          </w:p>
        </w:tc>
        <w:tc>
          <w:tcPr>
            <w:tcW w:w="1761" w:type="dxa"/>
            <w:shd w:val="clear" w:color="auto" w:fill="auto"/>
          </w:tcPr>
          <w:p w:rsidR="00C36492" w:rsidRPr="008C5FDE" w:rsidRDefault="00C36492" w:rsidP="006A3540">
            <w:pPr>
              <w:jc w:val="center"/>
              <w:cnfStyle w:val="000000000000"/>
              <w:rPr>
                <w:sz w:val="22"/>
                <w:lang w:val="uk-UA"/>
              </w:rPr>
            </w:pPr>
            <w:r w:rsidRPr="008C5FDE">
              <w:rPr>
                <w:sz w:val="22"/>
                <w:lang w:val="uk-UA"/>
              </w:rPr>
              <w:t>X</w:t>
            </w:r>
          </w:p>
        </w:tc>
        <w:tc>
          <w:tcPr>
            <w:tcW w:w="1486" w:type="dxa"/>
            <w:shd w:val="clear" w:color="auto" w:fill="auto"/>
          </w:tcPr>
          <w:p w:rsidR="00C36492" w:rsidRPr="008C5FDE" w:rsidRDefault="00C36492" w:rsidP="006A3540">
            <w:pPr>
              <w:jc w:val="center"/>
              <w:cnfStyle w:val="000000000000"/>
              <w:rPr>
                <w:sz w:val="22"/>
                <w:lang w:val="uk-UA"/>
              </w:rPr>
            </w:pPr>
          </w:p>
        </w:tc>
        <w:tc>
          <w:tcPr>
            <w:tcW w:w="1564" w:type="dxa"/>
            <w:shd w:val="clear" w:color="auto" w:fill="auto"/>
          </w:tcPr>
          <w:p w:rsidR="00C36492" w:rsidRPr="008C5FDE" w:rsidRDefault="00C36492" w:rsidP="006A3540">
            <w:pPr>
              <w:jc w:val="center"/>
              <w:cnfStyle w:val="000000000000"/>
              <w:rPr>
                <w:sz w:val="22"/>
                <w:lang w:val="uk-UA"/>
              </w:rPr>
            </w:pPr>
          </w:p>
        </w:tc>
      </w:tr>
      <w:tr w:rsidR="00C36492" w:rsidRPr="008C5FDE" w:rsidTr="009B3E03">
        <w:trPr>
          <w:cnfStyle w:val="000000100000"/>
        </w:trPr>
        <w:tc>
          <w:tcPr>
            <w:cnfStyle w:val="001000000000"/>
            <w:tcW w:w="4507" w:type="dxa"/>
            <w:tcBorders>
              <w:left w:val="none" w:sz="0" w:space="0" w:color="auto"/>
            </w:tcBorders>
            <w:shd w:val="clear" w:color="auto" w:fill="auto"/>
          </w:tcPr>
          <w:p w:rsidR="00C36492" w:rsidRPr="008C5FDE" w:rsidRDefault="00C36492" w:rsidP="006A3540">
            <w:pPr>
              <w:rPr>
                <w:rFonts w:eastAsia="Times New Roman"/>
                <w:b w:val="0"/>
                <w:color w:val="auto"/>
                <w:sz w:val="22"/>
                <w:lang w:val="uk-UA" w:eastAsia="lt-LT"/>
              </w:rPr>
            </w:pPr>
            <w:r w:rsidRPr="008C5FDE">
              <w:rPr>
                <w:rFonts w:eastAsia="Times New Roman"/>
                <w:b w:val="0"/>
                <w:color w:val="auto"/>
                <w:sz w:val="22"/>
                <w:lang w:val="uk-UA" w:eastAsia="lt-LT"/>
              </w:rPr>
              <w:t xml:space="preserve">4. </w:t>
            </w:r>
            <w:r w:rsidRPr="008C5FDE">
              <w:rPr>
                <w:b w:val="0"/>
                <w:color w:val="auto"/>
                <w:sz w:val="22"/>
                <w:lang w:val="uk-UA" w:eastAsia="lt-LT"/>
              </w:rPr>
              <w:t>Політичні ризики</w:t>
            </w:r>
          </w:p>
        </w:tc>
        <w:tc>
          <w:tcPr>
            <w:tcW w:w="1761" w:type="dxa"/>
            <w:shd w:val="clear" w:color="auto" w:fill="auto"/>
          </w:tcPr>
          <w:p w:rsidR="00C36492" w:rsidRPr="008C5FDE" w:rsidRDefault="00C36492" w:rsidP="006A3540">
            <w:pPr>
              <w:jc w:val="center"/>
              <w:cnfStyle w:val="000000100000"/>
              <w:rPr>
                <w:sz w:val="22"/>
                <w:lang w:val="uk-UA"/>
              </w:rPr>
            </w:pPr>
          </w:p>
        </w:tc>
        <w:tc>
          <w:tcPr>
            <w:tcW w:w="1486" w:type="dxa"/>
            <w:shd w:val="clear" w:color="auto" w:fill="auto"/>
          </w:tcPr>
          <w:p w:rsidR="00C36492" w:rsidRPr="008C5FDE" w:rsidRDefault="00C36492" w:rsidP="006A3540">
            <w:pPr>
              <w:jc w:val="center"/>
              <w:cnfStyle w:val="000000100000"/>
              <w:rPr>
                <w:sz w:val="22"/>
                <w:lang w:val="uk-UA"/>
              </w:rPr>
            </w:pPr>
            <w:r w:rsidRPr="008C5FDE">
              <w:rPr>
                <w:sz w:val="22"/>
                <w:lang w:val="uk-UA"/>
              </w:rPr>
              <w:t>X</w:t>
            </w:r>
          </w:p>
        </w:tc>
        <w:tc>
          <w:tcPr>
            <w:tcW w:w="1564" w:type="dxa"/>
            <w:shd w:val="clear" w:color="auto" w:fill="auto"/>
          </w:tcPr>
          <w:p w:rsidR="00C36492" w:rsidRPr="008C5FDE" w:rsidRDefault="00C36492" w:rsidP="006A3540">
            <w:pPr>
              <w:jc w:val="center"/>
              <w:cnfStyle w:val="000000100000"/>
              <w:rPr>
                <w:sz w:val="22"/>
                <w:lang w:val="uk-UA"/>
              </w:rPr>
            </w:pPr>
          </w:p>
        </w:tc>
      </w:tr>
      <w:tr w:rsidR="00C36492" w:rsidRPr="008C5FDE" w:rsidTr="009B3E03">
        <w:tc>
          <w:tcPr>
            <w:cnfStyle w:val="001000000000"/>
            <w:tcW w:w="4507" w:type="dxa"/>
            <w:tcBorders>
              <w:left w:val="none" w:sz="0" w:space="0" w:color="auto"/>
            </w:tcBorders>
            <w:shd w:val="clear" w:color="auto" w:fill="auto"/>
          </w:tcPr>
          <w:p w:rsidR="00C36492" w:rsidRPr="008C5FDE" w:rsidRDefault="00C36492" w:rsidP="006A3540">
            <w:pPr>
              <w:rPr>
                <w:rFonts w:eastAsia="Times New Roman"/>
                <w:b w:val="0"/>
                <w:color w:val="auto"/>
                <w:sz w:val="22"/>
                <w:lang w:val="uk-UA" w:eastAsia="lt-LT"/>
              </w:rPr>
            </w:pPr>
            <w:r w:rsidRPr="008C5FDE">
              <w:rPr>
                <w:rFonts w:eastAsia="Times New Roman"/>
                <w:b w:val="0"/>
                <w:color w:val="auto"/>
                <w:sz w:val="22"/>
                <w:lang w:val="uk-UA" w:eastAsia="lt-LT"/>
              </w:rPr>
              <w:t>5. Юридичні ризики</w:t>
            </w:r>
          </w:p>
        </w:tc>
        <w:tc>
          <w:tcPr>
            <w:tcW w:w="1761" w:type="dxa"/>
            <w:shd w:val="clear" w:color="auto" w:fill="auto"/>
          </w:tcPr>
          <w:p w:rsidR="00C36492" w:rsidRPr="008C5FDE" w:rsidRDefault="00C36492" w:rsidP="006A3540">
            <w:pPr>
              <w:jc w:val="center"/>
              <w:cnfStyle w:val="000000000000"/>
              <w:rPr>
                <w:sz w:val="22"/>
                <w:lang w:val="uk-UA"/>
              </w:rPr>
            </w:pPr>
          </w:p>
        </w:tc>
        <w:tc>
          <w:tcPr>
            <w:tcW w:w="1486" w:type="dxa"/>
            <w:shd w:val="clear" w:color="auto" w:fill="auto"/>
          </w:tcPr>
          <w:p w:rsidR="00C36492" w:rsidRPr="008C5FDE" w:rsidRDefault="00C36492" w:rsidP="006A3540">
            <w:pPr>
              <w:jc w:val="center"/>
              <w:cnfStyle w:val="000000000000"/>
              <w:rPr>
                <w:sz w:val="22"/>
                <w:lang w:val="uk-UA"/>
              </w:rPr>
            </w:pPr>
            <w:r w:rsidRPr="008C5FDE">
              <w:rPr>
                <w:sz w:val="22"/>
                <w:lang w:val="uk-UA"/>
              </w:rPr>
              <w:t>X</w:t>
            </w:r>
          </w:p>
        </w:tc>
        <w:tc>
          <w:tcPr>
            <w:tcW w:w="1564" w:type="dxa"/>
            <w:shd w:val="clear" w:color="auto" w:fill="auto"/>
          </w:tcPr>
          <w:p w:rsidR="00C36492" w:rsidRPr="008C5FDE" w:rsidRDefault="00C36492" w:rsidP="006A3540">
            <w:pPr>
              <w:jc w:val="center"/>
              <w:cnfStyle w:val="000000000000"/>
              <w:rPr>
                <w:sz w:val="22"/>
                <w:lang w:val="uk-UA"/>
              </w:rPr>
            </w:pPr>
          </w:p>
        </w:tc>
      </w:tr>
      <w:tr w:rsidR="00C36492" w:rsidRPr="008C5FDE" w:rsidTr="009B3E03">
        <w:trPr>
          <w:cnfStyle w:val="000000100000"/>
        </w:trPr>
        <w:tc>
          <w:tcPr>
            <w:cnfStyle w:val="001000000000"/>
            <w:tcW w:w="4507" w:type="dxa"/>
            <w:tcBorders>
              <w:left w:val="none" w:sz="0" w:space="0" w:color="auto"/>
            </w:tcBorders>
            <w:shd w:val="clear" w:color="auto" w:fill="auto"/>
          </w:tcPr>
          <w:p w:rsidR="00C36492" w:rsidRPr="008C5FDE" w:rsidRDefault="00C36492" w:rsidP="006A3540">
            <w:pPr>
              <w:rPr>
                <w:rFonts w:eastAsia="Times New Roman"/>
                <w:b w:val="0"/>
                <w:color w:val="auto"/>
                <w:sz w:val="22"/>
                <w:lang w:val="uk-UA" w:eastAsia="lt-LT"/>
              </w:rPr>
            </w:pPr>
            <w:r w:rsidRPr="008C5FDE">
              <w:rPr>
                <w:rFonts w:eastAsia="Times New Roman"/>
                <w:b w:val="0"/>
                <w:color w:val="auto"/>
                <w:sz w:val="22"/>
                <w:lang w:val="uk-UA" w:eastAsia="lt-LT"/>
              </w:rPr>
              <w:t xml:space="preserve">6. </w:t>
            </w:r>
            <w:r w:rsidRPr="008C5FDE">
              <w:rPr>
                <w:b w:val="0"/>
                <w:color w:val="auto"/>
                <w:sz w:val="22"/>
                <w:lang w:val="uk-UA" w:eastAsia="lt-LT"/>
              </w:rPr>
              <w:t>Макроекономічні та фінансові ризики</w:t>
            </w:r>
          </w:p>
        </w:tc>
        <w:tc>
          <w:tcPr>
            <w:tcW w:w="1761" w:type="dxa"/>
            <w:shd w:val="clear" w:color="auto" w:fill="auto"/>
          </w:tcPr>
          <w:p w:rsidR="00C36492" w:rsidRPr="008C5FDE" w:rsidRDefault="00C36492" w:rsidP="006A3540">
            <w:pPr>
              <w:jc w:val="center"/>
              <w:cnfStyle w:val="000000100000"/>
              <w:rPr>
                <w:sz w:val="22"/>
                <w:lang w:val="uk-UA"/>
              </w:rPr>
            </w:pPr>
            <w:r w:rsidRPr="008C5FDE">
              <w:rPr>
                <w:sz w:val="22"/>
                <w:lang w:val="uk-UA"/>
              </w:rPr>
              <w:t>X</w:t>
            </w:r>
          </w:p>
        </w:tc>
        <w:tc>
          <w:tcPr>
            <w:tcW w:w="1486" w:type="dxa"/>
            <w:shd w:val="clear" w:color="auto" w:fill="auto"/>
          </w:tcPr>
          <w:p w:rsidR="00C36492" w:rsidRPr="008C5FDE" w:rsidRDefault="00C36492" w:rsidP="006A3540">
            <w:pPr>
              <w:jc w:val="center"/>
              <w:cnfStyle w:val="000000100000"/>
              <w:rPr>
                <w:sz w:val="22"/>
                <w:lang w:val="uk-UA"/>
              </w:rPr>
            </w:pPr>
          </w:p>
        </w:tc>
        <w:tc>
          <w:tcPr>
            <w:tcW w:w="1564" w:type="dxa"/>
            <w:shd w:val="clear" w:color="auto" w:fill="auto"/>
          </w:tcPr>
          <w:p w:rsidR="00C36492" w:rsidRPr="008C5FDE" w:rsidRDefault="00C36492" w:rsidP="006A3540">
            <w:pPr>
              <w:jc w:val="center"/>
              <w:cnfStyle w:val="000000100000"/>
              <w:rPr>
                <w:i/>
                <w:sz w:val="22"/>
                <w:lang w:val="uk-UA"/>
              </w:rPr>
            </w:pPr>
          </w:p>
        </w:tc>
      </w:tr>
      <w:tr w:rsidR="00C36492" w:rsidRPr="008C5FDE" w:rsidTr="009B3E03">
        <w:tc>
          <w:tcPr>
            <w:cnfStyle w:val="001000000000"/>
            <w:tcW w:w="4507" w:type="dxa"/>
            <w:tcBorders>
              <w:left w:val="none" w:sz="0" w:space="0" w:color="auto"/>
            </w:tcBorders>
            <w:shd w:val="clear" w:color="auto" w:fill="auto"/>
          </w:tcPr>
          <w:p w:rsidR="00C36492" w:rsidRPr="008C5FDE" w:rsidRDefault="00C36492" w:rsidP="006A3540">
            <w:pPr>
              <w:rPr>
                <w:rFonts w:eastAsia="Times New Roman"/>
                <w:b w:val="0"/>
                <w:color w:val="auto"/>
                <w:sz w:val="22"/>
                <w:lang w:val="uk-UA" w:eastAsia="lt-LT"/>
              </w:rPr>
            </w:pPr>
            <w:r w:rsidRPr="008C5FDE">
              <w:rPr>
                <w:rFonts w:eastAsia="Times New Roman"/>
                <w:b w:val="0"/>
                <w:color w:val="auto"/>
                <w:sz w:val="22"/>
                <w:lang w:val="uk-UA" w:eastAsia="lt-LT"/>
              </w:rPr>
              <w:t>7. Ризики регулювання цін</w:t>
            </w:r>
          </w:p>
        </w:tc>
        <w:tc>
          <w:tcPr>
            <w:tcW w:w="4811" w:type="dxa"/>
            <w:gridSpan w:val="3"/>
            <w:shd w:val="clear" w:color="auto" w:fill="auto"/>
          </w:tcPr>
          <w:p w:rsidR="00C36492" w:rsidRPr="008C5FDE" w:rsidRDefault="00C36492" w:rsidP="006A3540">
            <w:pPr>
              <w:jc w:val="center"/>
              <w:cnfStyle w:val="000000000000"/>
              <w:rPr>
                <w:i/>
                <w:sz w:val="22"/>
                <w:lang w:val="uk-UA"/>
              </w:rPr>
            </w:pPr>
            <w:r w:rsidRPr="008C5FDE">
              <w:rPr>
                <w:i/>
                <w:sz w:val="22"/>
                <w:lang w:val="uk-UA"/>
              </w:rPr>
              <w:t>Не стосується</w:t>
            </w:r>
          </w:p>
        </w:tc>
      </w:tr>
      <w:tr w:rsidR="00C36492" w:rsidRPr="008C5FDE" w:rsidTr="009B3E03">
        <w:trPr>
          <w:cnfStyle w:val="000000100000"/>
        </w:trPr>
        <w:tc>
          <w:tcPr>
            <w:cnfStyle w:val="001000000000"/>
            <w:tcW w:w="4507" w:type="dxa"/>
            <w:tcBorders>
              <w:left w:val="none" w:sz="0" w:space="0" w:color="auto"/>
            </w:tcBorders>
            <w:shd w:val="clear" w:color="auto" w:fill="auto"/>
          </w:tcPr>
          <w:p w:rsidR="00C36492" w:rsidRPr="008C5FDE" w:rsidRDefault="00C36492" w:rsidP="006A3540">
            <w:pPr>
              <w:rPr>
                <w:rFonts w:eastAsia="Times New Roman"/>
                <w:b w:val="0"/>
                <w:color w:val="auto"/>
                <w:sz w:val="22"/>
                <w:lang w:val="uk-UA" w:eastAsia="lt-LT"/>
              </w:rPr>
            </w:pPr>
            <w:r w:rsidRPr="008C5FDE">
              <w:rPr>
                <w:rFonts w:eastAsia="Times New Roman"/>
                <w:b w:val="0"/>
                <w:color w:val="auto"/>
                <w:sz w:val="22"/>
                <w:lang w:val="uk-UA" w:eastAsia="lt-LT"/>
              </w:rPr>
              <w:t xml:space="preserve">8. </w:t>
            </w:r>
            <w:r w:rsidRPr="008C5FDE">
              <w:rPr>
                <w:b w:val="0"/>
                <w:color w:val="auto"/>
                <w:sz w:val="22"/>
                <w:lang w:val="uk-UA" w:eastAsia="lt-LT"/>
              </w:rPr>
              <w:t>Ризик регулювання витрат</w:t>
            </w:r>
          </w:p>
        </w:tc>
        <w:tc>
          <w:tcPr>
            <w:tcW w:w="1761" w:type="dxa"/>
            <w:shd w:val="clear" w:color="auto" w:fill="auto"/>
          </w:tcPr>
          <w:p w:rsidR="00C36492" w:rsidRPr="008C5FDE" w:rsidRDefault="00C36492" w:rsidP="006A3540">
            <w:pPr>
              <w:jc w:val="center"/>
              <w:cnfStyle w:val="000000100000"/>
              <w:rPr>
                <w:sz w:val="22"/>
                <w:lang w:val="uk-UA"/>
              </w:rPr>
            </w:pPr>
          </w:p>
        </w:tc>
        <w:tc>
          <w:tcPr>
            <w:tcW w:w="1486" w:type="dxa"/>
            <w:shd w:val="clear" w:color="auto" w:fill="auto"/>
          </w:tcPr>
          <w:p w:rsidR="00C36492" w:rsidRPr="008C5FDE" w:rsidRDefault="00C36492" w:rsidP="006A3540">
            <w:pPr>
              <w:jc w:val="center"/>
              <w:cnfStyle w:val="000000100000"/>
              <w:rPr>
                <w:sz w:val="22"/>
                <w:lang w:val="uk-UA"/>
              </w:rPr>
            </w:pPr>
          </w:p>
        </w:tc>
        <w:tc>
          <w:tcPr>
            <w:tcW w:w="1564" w:type="dxa"/>
            <w:shd w:val="clear" w:color="auto" w:fill="auto"/>
          </w:tcPr>
          <w:p w:rsidR="00C36492" w:rsidRPr="008C5FDE" w:rsidRDefault="00C36492" w:rsidP="006A3540">
            <w:pPr>
              <w:jc w:val="center"/>
              <w:cnfStyle w:val="000000100000"/>
              <w:rPr>
                <w:sz w:val="22"/>
                <w:lang w:val="uk-UA"/>
              </w:rPr>
            </w:pPr>
            <w:r w:rsidRPr="008C5FDE">
              <w:rPr>
                <w:sz w:val="22"/>
                <w:lang w:val="uk-UA"/>
              </w:rPr>
              <w:t>X</w:t>
            </w:r>
          </w:p>
        </w:tc>
      </w:tr>
      <w:tr w:rsidR="00C36492" w:rsidRPr="008C5FDE" w:rsidTr="009B3E03">
        <w:tc>
          <w:tcPr>
            <w:cnfStyle w:val="001000000000"/>
            <w:tcW w:w="4507" w:type="dxa"/>
            <w:tcBorders>
              <w:left w:val="none" w:sz="0" w:space="0" w:color="auto"/>
            </w:tcBorders>
            <w:shd w:val="clear" w:color="auto" w:fill="auto"/>
          </w:tcPr>
          <w:p w:rsidR="00C36492" w:rsidRPr="008C5FDE" w:rsidRDefault="00C36492" w:rsidP="006A3540">
            <w:pPr>
              <w:rPr>
                <w:rFonts w:eastAsia="Times New Roman"/>
                <w:b w:val="0"/>
                <w:color w:val="auto"/>
                <w:sz w:val="22"/>
                <w:lang w:val="uk-UA" w:eastAsia="lt-LT"/>
              </w:rPr>
            </w:pPr>
            <w:r w:rsidRPr="008C5FDE">
              <w:rPr>
                <w:rFonts w:eastAsia="Times New Roman"/>
                <w:b w:val="0"/>
                <w:color w:val="auto"/>
                <w:sz w:val="22"/>
                <w:lang w:val="uk-UA" w:eastAsia="lt-LT"/>
              </w:rPr>
              <w:t>9. Форс-мажор та ризики знищення майна</w:t>
            </w:r>
          </w:p>
        </w:tc>
        <w:tc>
          <w:tcPr>
            <w:tcW w:w="1761" w:type="dxa"/>
            <w:shd w:val="clear" w:color="auto" w:fill="auto"/>
          </w:tcPr>
          <w:p w:rsidR="00C36492" w:rsidRPr="008C5FDE" w:rsidRDefault="00C36492" w:rsidP="006A3540">
            <w:pPr>
              <w:jc w:val="center"/>
              <w:cnfStyle w:val="000000000000"/>
              <w:rPr>
                <w:i/>
                <w:sz w:val="22"/>
                <w:lang w:val="uk-UA"/>
              </w:rPr>
            </w:pPr>
          </w:p>
        </w:tc>
        <w:tc>
          <w:tcPr>
            <w:tcW w:w="1486" w:type="dxa"/>
            <w:shd w:val="clear" w:color="auto" w:fill="auto"/>
          </w:tcPr>
          <w:p w:rsidR="00C36492" w:rsidRPr="008C5FDE" w:rsidRDefault="00C36492" w:rsidP="006A3540">
            <w:pPr>
              <w:jc w:val="center"/>
              <w:cnfStyle w:val="000000000000"/>
              <w:rPr>
                <w:sz w:val="22"/>
                <w:lang w:val="uk-UA"/>
              </w:rPr>
            </w:pPr>
            <w:r w:rsidRPr="008C5FDE">
              <w:rPr>
                <w:sz w:val="22"/>
                <w:lang w:val="uk-UA"/>
              </w:rPr>
              <w:t>X</w:t>
            </w:r>
          </w:p>
        </w:tc>
        <w:tc>
          <w:tcPr>
            <w:tcW w:w="1564" w:type="dxa"/>
            <w:shd w:val="clear" w:color="auto" w:fill="auto"/>
          </w:tcPr>
          <w:p w:rsidR="00C36492" w:rsidRPr="008C5FDE" w:rsidRDefault="00C36492" w:rsidP="006A3540">
            <w:pPr>
              <w:jc w:val="center"/>
              <w:cnfStyle w:val="000000000000"/>
              <w:rPr>
                <w:sz w:val="22"/>
                <w:lang w:val="uk-UA"/>
              </w:rPr>
            </w:pPr>
          </w:p>
        </w:tc>
      </w:tr>
      <w:tr w:rsidR="00C36492" w:rsidRPr="008C5FDE" w:rsidTr="009B3E03">
        <w:trPr>
          <w:cnfStyle w:val="000000100000"/>
        </w:trPr>
        <w:tc>
          <w:tcPr>
            <w:cnfStyle w:val="001000000000"/>
            <w:tcW w:w="4507" w:type="dxa"/>
            <w:tcBorders>
              <w:left w:val="none" w:sz="0" w:space="0" w:color="auto"/>
            </w:tcBorders>
            <w:shd w:val="clear" w:color="auto" w:fill="auto"/>
          </w:tcPr>
          <w:p w:rsidR="00C36492" w:rsidRPr="008C5FDE" w:rsidRDefault="00C36492" w:rsidP="006A3540">
            <w:pPr>
              <w:rPr>
                <w:rFonts w:eastAsia="Times New Roman"/>
                <w:b w:val="0"/>
                <w:color w:val="auto"/>
                <w:sz w:val="22"/>
                <w:lang w:val="uk-UA" w:eastAsia="lt-LT"/>
              </w:rPr>
            </w:pPr>
            <w:r w:rsidRPr="008C5FDE">
              <w:rPr>
                <w:rFonts w:eastAsia="Times New Roman"/>
                <w:b w:val="0"/>
                <w:color w:val="auto"/>
                <w:sz w:val="22"/>
                <w:lang w:val="uk-UA" w:eastAsia="lt-LT"/>
              </w:rPr>
              <w:t xml:space="preserve">10. </w:t>
            </w:r>
            <w:r w:rsidRPr="008C5FDE">
              <w:rPr>
                <w:b w:val="0"/>
                <w:color w:val="auto"/>
                <w:sz w:val="22"/>
                <w:lang w:val="uk-UA" w:eastAsia="lt-LT"/>
              </w:rPr>
              <w:t>Ризики спорів та соціальні ризики</w:t>
            </w:r>
          </w:p>
        </w:tc>
        <w:tc>
          <w:tcPr>
            <w:tcW w:w="1761" w:type="dxa"/>
            <w:shd w:val="clear" w:color="auto" w:fill="auto"/>
          </w:tcPr>
          <w:p w:rsidR="00C36492" w:rsidRPr="008C5FDE" w:rsidRDefault="00C36492" w:rsidP="006A3540">
            <w:pPr>
              <w:jc w:val="center"/>
              <w:cnfStyle w:val="000000100000"/>
              <w:rPr>
                <w:i/>
                <w:sz w:val="22"/>
                <w:lang w:val="uk-UA"/>
              </w:rPr>
            </w:pPr>
          </w:p>
        </w:tc>
        <w:tc>
          <w:tcPr>
            <w:tcW w:w="1486" w:type="dxa"/>
            <w:shd w:val="clear" w:color="auto" w:fill="auto"/>
          </w:tcPr>
          <w:p w:rsidR="00C36492" w:rsidRPr="008C5FDE" w:rsidRDefault="00C36492" w:rsidP="006A3540">
            <w:pPr>
              <w:jc w:val="center"/>
              <w:cnfStyle w:val="000000100000"/>
              <w:rPr>
                <w:sz w:val="22"/>
                <w:lang w:val="uk-UA"/>
              </w:rPr>
            </w:pPr>
            <w:r w:rsidRPr="008C5FDE">
              <w:rPr>
                <w:sz w:val="22"/>
                <w:lang w:val="uk-UA"/>
              </w:rPr>
              <w:t>X</w:t>
            </w:r>
          </w:p>
        </w:tc>
        <w:tc>
          <w:tcPr>
            <w:tcW w:w="1564" w:type="dxa"/>
            <w:shd w:val="clear" w:color="auto" w:fill="auto"/>
          </w:tcPr>
          <w:p w:rsidR="00C36492" w:rsidRPr="008C5FDE" w:rsidRDefault="00C36492" w:rsidP="006A3540">
            <w:pPr>
              <w:jc w:val="center"/>
              <w:cnfStyle w:val="000000100000"/>
              <w:rPr>
                <w:i/>
                <w:sz w:val="22"/>
                <w:lang w:val="uk-UA"/>
              </w:rPr>
            </w:pPr>
          </w:p>
        </w:tc>
      </w:tr>
      <w:tr w:rsidR="00C36492" w:rsidRPr="008C5FDE" w:rsidTr="009B3E03">
        <w:tc>
          <w:tcPr>
            <w:cnfStyle w:val="001000000000"/>
            <w:tcW w:w="4507" w:type="dxa"/>
            <w:tcBorders>
              <w:left w:val="none" w:sz="0" w:space="0" w:color="auto"/>
            </w:tcBorders>
            <w:shd w:val="clear" w:color="auto" w:fill="auto"/>
          </w:tcPr>
          <w:p w:rsidR="00C36492" w:rsidRPr="008C5FDE" w:rsidRDefault="00C36492" w:rsidP="006A3540">
            <w:pPr>
              <w:rPr>
                <w:rFonts w:eastAsia="Times New Roman"/>
                <w:b w:val="0"/>
                <w:color w:val="auto"/>
                <w:sz w:val="22"/>
                <w:lang w:val="uk-UA" w:eastAsia="lt-LT"/>
              </w:rPr>
            </w:pPr>
            <w:r w:rsidRPr="008C5FDE">
              <w:rPr>
                <w:rFonts w:eastAsia="Times New Roman"/>
                <w:b w:val="0"/>
                <w:color w:val="auto"/>
                <w:sz w:val="22"/>
                <w:lang w:val="uk-UA" w:eastAsia="lt-LT"/>
              </w:rPr>
              <w:t xml:space="preserve">11. </w:t>
            </w:r>
            <w:r w:rsidRPr="008C5FDE">
              <w:rPr>
                <w:b w:val="0"/>
                <w:color w:val="auto"/>
                <w:sz w:val="22"/>
                <w:lang w:val="uk-UA" w:eastAsia="lt-LT"/>
              </w:rPr>
              <w:t>Екологічні ризики</w:t>
            </w:r>
          </w:p>
        </w:tc>
        <w:tc>
          <w:tcPr>
            <w:tcW w:w="1761" w:type="dxa"/>
            <w:shd w:val="clear" w:color="auto" w:fill="auto"/>
          </w:tcPr>
          <w:p w:rsidR="00C36492" w:rsidRPr="008C5FDE" w:rsidRDefault="00C36492" w:rsidP="006A3540">
            <w:pPr>
              <w:jc w:val="center"/>
              <w:cnfStyle w:val="000000000000"/>
              <w:rPr>
                <w:sz w:val="22"/>
                <w:lang w:val="uk-UA"/>
              </w:rPr>
            </w:pPr>
            <w:r w:rsidRPr="008C5FDE">
              <w:rPr>
                <w:sz w:val="22"/>
                <w:lang w:val="uk-UA"/>
              </w:rPr>
              <w:t>X</w:t>
            </w:r>
          </w:p>
        </w:tc>
        <w:tc>
          <w:tcPr>
            <w:tcW w:w="1486" w:type="dxa"/>
            <w:shd w:val="clear" w:color="auto" w:fill="auto"/>
          </w:tcPr>
          <w:p w:rsidR="00C36492" w:rsidRPr="008C5FDE" w:rsidRDefault="00C36492" w:rsidP="006A3540">
            <w:pPr>
              <w:jc w:val="center"/>
              <w:cnfStyle w:val="000000000000"/>
              <w:rPr>
                <w:sz w:val="22"/>
                <w:lang w:val="uk-UA"/>
              </w:rPr>
            </w:pPr>
          </w:p>
        </w:tc>
        <w:tc>
          <w:tcPr>
            <w:tcW w:w="1564" w:type="dxa"/>
            <w:shd w:val="clear" w:color="auto" w:fill="auto"/>
          </w:tcPr>
          <w:p w:rsidR="00C36492" w:rsidRPr="008C5FDE" w:rsidRDefault="00C36492" w:rsidP="006A3540">
            <w:pPr>
              <w:jc w:val="center"/>
              <w:cnfStyle w:val="000000000000"/>
              <w:rPr>
                <w:sz w:val="22"/>
                <w:lang w:val="uk-UA"/>
              </w:rPr>
            </w:pPr>
          </w:p>
        </w:tc>
      </w:tr>
      <w:tr w:rsidR="00C36492" w:rsidRPr="008C5FDE" w:rsidTr="009B3E03">
        <w:trPr>
          <w:cnfStyle w:val="000000100000"/>
        </w:trPr>
        <w:tc>
          <w:tcPr>
            <w:cnfStyle w:val="001000000000"/>
            <w:tcW w:w="4507" w:type="dxa"/>
            <w:tcBorders>
              <w:left w:val="none" w:sz="0" w:space="0" w:color="auto"/>
              <w:bottom w:val="none" w:sz="0" w:space="0" w:color="auto"/>
            </w:tcBorders>
            <w:shd w:val="clear" w:color="auto" w:fill="auto"/>
          </w:tcPr>
          <w:p w:rsidR="00C36492" w:rsidRPr="008C5FDE" w:rsidRDefault="00C36492" w:rsidP="006A3540">
            <w:pPr>
              <w:rPr>
                <w:rFonts w:eastAsia="Times New Roman"/>
                <w:b w:val="0"/>
                <w:color w:val="auto"/>
                <w:sz w:val="22"/>
                <w:lang w:val="uk-UA" w:eastAsia="lt-LT"/>
              </w:rPr>
            </w:pPr>
            <w:r w:rsidRPr="008C5FDE">
              <w:rPr>
                <w:rFonts w:eastAsia="Times New Roman"/>
                <w:b w:val="0"/>
                <w:color w:val="auto"/>
                <w:sz w:val="22"/>
                <w:lang w:val="uk-UA" w:eastAsia="lt-LT"/>
              </w:rPr>
              <w:t>12. Ризик передання активів</w:t>
            </w:r>
          </w:p>
        </w:tc>
        <w:tc>
          <w:tcPr>
            <w:tcW w:w="1761" w:type="dxa"/>
            <w:shd w:val="clear" w:color="auto" w:fill="auto"/>
          </w:tcPr>
          <w:p w:rsidR="00C36492" w:rsidRPr="008C5FDE" w:rsidRDefault="00C36492" w:rsidP="006A3540">
            <w:pPr>
              <w:jc w:val="center"/>
              <w:cnfStyle w:val="000000100000"/>
              <w:rPr>
                <w:sz w:val="22"/>
                <w:lang w:val="uk-UA"/>
              </w:rPr>
            </w:pPr>
          </w:p>
        </w:tc>
        <w:tc>
          <w:tcPr>
            <w:tcW w:w="1486" w:type="dxa"/>
            <w:shd w:val="clear" w:color="auto" w:fill="auto"/>
          </w:tcPr>
          <w:p w:rsidR="00C36492" w:rsidRPr="008C5FDE" w:rsidRDefault="00C36492" w:rsidP="006A3540">
            <w:pPr>
              <w:keepNext/>
              <w:jc w:val="center"/>
              <w:cnfStyle w:val="000000100000"/>
              <w:rPr>
                <w:sz w:val="22"/>
                <w:lang w:val="uk-UA"/>
              </w:rPr>
            </w:pPr>
          </w:p>
        </w:tc>
        <w:tc>
          <w:tcPr>
            <w:tcW w:w="1564" w:type="dxa"/>
            <w:shd w:val="clear" w:color="auto" w:fill="auto"/>
          </w:tcPr>
          <w:p w:rsidR="00C36492" w:rsidRPr="008C5FDE" w:rsidRDefault="00C36492" w:rsidP="006A3540">
            <w:pPr>
              <w:jc w:val="center"/>
              <w:cnfStyle w:val="000000100000"/>
              <w:rPr>
                <w:sz w:val="22"/>
                <w:lang w:val="uk-UA"/>
              </w:rPr>
            </w:pPr>
            <w:r w:rsidRPr="008C5FDE">
              <w:rPr>
                <w:sz w:val="22"/>
                <w:lang w:val="uk-UA"/>
              </w:rPr>
              <w:t>X</w:t>
            </w:r>
          </w:p>
        </w:tc>
      </w:tr>
    </w:tbl>
    <w:p w:rsidR="006D24CA" w:rsidRDefault="006D24CA">
      <w:pPr>
        <w:rPr>
          <w:lang w:val="uk-UA"/>
        </w:rPr>
      </w:pPr>
    </w:p>
    <w:p w:rsidR="00174A96" w:rsidRDefault="00174A96">
      <w:pPr>
        <w:rPr>
          <w:lang w:val="uk-UA"/>
        </w:rPr>
      </w:pPr>
    </w:p>
    <w:p w:rsidR="00174A96" w:rsidRDefault="00174A96">
      <w:pPr>
        <w:rPr>
          <w:lang w:val="uk-UA"/>
        </w:rPr>
      </w:pPr>
    </w:p>
    <w:p w:rsidR="00174A96" w:rsidRPr="00174A96" w:rsidRDefault="00174A96">
      <w:pPr>
        <w:rPr>
          <w:b/>
          <w:lang w:val="uk-UA"/>
        </w:rPr>
      </w:pPr>
      <w:r w:rsidRPr="00174A96">
        <w:rPr>
          <w:b/>
          <w:lang w:val="uk-UA"/>
        </w:rPr>
        <w:tab/>
        <w:t>Секретар міської ради</w:t>
      </w:r>
      <w:r w:rsidRPr="00174A96">
        <w:rPr>
          <w:b/>
          <w:lang w:val="uk-UA"/>
        </w:rPr>
        <w:tab/>
      </w:r>
      <w:r w:rsidRPr="00174A96">
        <w:rPr>
          <w:b/>
          <w:lang w:val="uk-UA"/>
        </w:rPr>
        <w:tab/>
      </w:r>
      <w:r w:rsidRPr="00174A96">
        <w:rPr>
          <w:b/>
          <w:lang w:val="uk-UA"/>
        </w:rPr>
        <w:tab/>
      </w:r>
      <w:r w:rsidRPr="00174A96">
        <w:rPr>
          <w:b/>
          <w:lang w:val="uk-UA"/>
        </w:rPr>
        <w:tab/>
      </w:r>
      <w:r w:rsidRPr="00174A96">
        <w:rPr>
          <w:b/>
          <w:lang w:val="uk-UA"/>
        </w:rPr>
        <w:tab/>
        <w:t xml:space="preserve">    Н.Пономаренко</w:t>
      </w:r>
    </w:p>
    <w:sectPr w:rsidR="00174A96" w:rsidRPr="00174A96" w:rsidSect="00F81AD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048" w:rsidRDefault="00AC5048" w:rsidP="008021D3">
      <w:r>
        <w:separator/>
      </w:r>
    </w:p>
  </w:endnote>
  <w:endnote w:type="continuationSeparator" w:id="1">
    <w:p w:rsidR="00AC5048" w:rsidRDefault="00AC5048" w:rsidP="008021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048" w:rsidRDefault="00AC5048" w:rsidP="008021D3">
      <w:r>
        <w:separator/>
      </w:r>
    </w:p>
  </w:footnote>
  <w:footnote w:type="continuationSeparator" w:id="1">
    <w:p w:rsidR="00AC5048" w:rsidRDefault="00AC5048" w:rsidP="008021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646AEA"/>
    <w:rsid w:val="00053388"/>
    <w:rsid w:val="00137B40"/>
    <w:rsid w:val="00174A96"/>
    <w:rsid w:val="00236759"/>
    <w:rsid w:val="002525D9"/>
    <w:rsid w:val="0049689B"/>
    <w:rsid w:val="00646AEA"/>
    <w:rsid w:val="006D24CA"/>
    <w:rsid w:val="00721462"/>
    <w:rsid w:val="00740FCA"/>
    <w:rsid w:val="0078641C"/>
    <w:rsid w:val="008021D3"/>
    <w:rsid w:val="009B3E03"/>
    <w:rsid w:val="00AC5048"/>
    <w:rsid w:val="00AF1BAC"/>
    <w:rsid w:val="00C36492"/>
    <w:rsid w:val="00CE67F6"/>
    <w:rsid w:val="00CF5E1B"/>
    <w:rsid w:val="00F81A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FCA"/>
    <w:rPr>
      <w:rFonts w:ascii="Times New Roman" w:hAnsi="Times New Roman"/>
      <w:sz w:val="24"/>
      <w:szCs w:val="24"/>
    </w:rPr>
  </w:style>
  <w:style w:type="paragraph" w:styleId="1">
    <w:name w:val="heading 1"/>
    <w:basedOn w:val="a"/>
    <w:next w:val="a"/>
    <w:link w:val="10"/>
    <w:uiPriority w:val="99"/>
    <w:qFormat/>
    <w:rsid w:val="00740FCA"/>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740FCA"/>
    <w:pPr>
      <w:keepNext/>
      <w:outlineLvl w:val="1"/>
    </w:pPr>
    <w:rPr>
      <w:b/>
      <w:bCs/>
      <w:color w:val="000000"/>
      <w:sz w:val="20"/>
      <w:szCs w:val="20"/>
      <w:u w:val="single"/>
      <w:lang w:val="en-GB"/>
    </w:rPr>
  </w:style>
  <w:style w:type="paragraph" w:styleId="5">
    <w:name w:val="heading 5"/>
    <w:basedOn w:val="a"/>
    <w:next w:val="a"/>
    <w:link w:val="50"/>
    <w:uiPriority w:val="99"/>
    <w:qFormat/>
    <w:rsid w:val="00740FCA"/>
    <w:pPr>
      <w:keepNext/>
      <w:keepLines/>
      <w:spacing w:before="200"/>
      <w:outlineLvl w:val="4"/>
    </w:pPr>
    <w:rPr>
      <w:rFonts w:ascii="Cambria"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740FCA"/>
    <w:rPr>
      <w:rFonts w:ascii="Cambria" w:hAnsi="Cambria" w:cs="Cambria"/>
      <w:b/>
      <w:bCs/>
      <w:color w:val="365F91"/>
      <w:sz w:val="28"/>
      <w:szCs w:val="28"/>
      <w:lang w:eastAsia="ru-RU"/>
    </w:rPr>
  </w:style>
  <w:style w:type="character" w:customStyle="1" w:styleId="20">
    <w:name w:val="Заголовок 2 Знак"/>
    <w:link w:val="2"/>
    <w:uiPriority w:val="99"/>
    <w:rsid w:val="00740FCA"/>
    <w:rPr>
      <w:rFonts w:ascii="Times New Roman" w:hAnsi="Times New Roman" w:cs="Times New Roman"/>
      <w:b/>
      <w:bCs/>
      <w:color w:val="000000"/>
      <w:sz w:val="20"/>
      <w:szCs w:val="20"/>
      <w:u w:val="single"/>
      <w:lang w:val="en-GB" w:eastAsia="ru-RU"/>
    </w:rPr>
  </w:style>
  <w:style w:type="character" w:customStyle="1" w:styleId="50">
    <w:name w:val="Заголовок 5 Знак"/>
    <w:link w:val="5"/>
    <w:uiPriority w:val="99"/>
    <w:rsid w:val="00740FCA"/>
    <w:rPr>
      <w:rFonts w:ascii="Cambria" w:hAnsi="Cambria" w:cs="Cambria"/>
      <w:color w:val="243F60"/>
      <w:sz w:val="24"/>
      <w:szCs w:val="24"/>
      <w:lang w:val="ru-RU" w:eastAsia="ru-RU"/>
    </w:rPr>
  </w:style>
  <w:style w:type="character" w:styleId="a3">
    <w:name w:val="Emphasis"/>
    <w:uiPriority w:val="99"/>
    <w:qFormat/>
    <w:rsid w:val="00740FCA"/>
    <w:rPr>
      <w:b/>
      <w:bCs/>
    </w:rPr>
  </w:style>
  <w:style w:type="paragraph" w:styleId="a4">
    <w:name w:val="List Paragraph"/>
    <w:basedOn w:val="a"/>
    <w:uiPriority w:val="99"/>
    <w:qFormat/>
    <w:rsid w:val="00740FCA"/>
    <w:pPr>
      <w:ind w:left="720"/>
      <w:contextualSpacing/>
    </w:pPr>
  </w:style>
  <w:style w:type="paragraph" w:styleId="a5">
    <w:name w:val="footnote text"/>
    <w:aliases w:val="Footnote text,Footnote Text Char Char Char,Footnote Text1,Footnote Text2,Footnote Text11,ALTS FOOTNOTE11,Footnote Text Char111,Footnote Text Char Char Char11,Footnote Text Char1 Char Char Char Char11,ALTS FOOTNOTE2, Char Char"/>
    <w:basedOn w:val="a"/>
    <w:link w:val="a6"/>
    <w:uiPriority w:val="99"/>
    <w:unhideWhenUsed/>
    <w:qFormat/>
    <w:rsid w:val="008021D3"/>
    <w:rPr>
      <w:rFonts w:asciiTheme="minorHAnsi" w:eastAsiaTheme="minorHAnsi" w:hAnsiTheme="minorHAnsi" w:cstheme="minorBidi"/>
      <w:sz w:val="20"/>
      <w:szCs w:val="20"/>
      <w:lang w:eastAsia="en-US"/>
    </w:rPr>
  </w:style>
  <w:style w:type="character" w:customStyle="1" w:styleId="a6">
    <w:name w:val="Текст сноски Знак"/>
    <w:aliases w:val="Footnote text Знак,Footnote Text Char Char Char Знак,Footnote Text1 Знак,Footnote Text2 Знак,Footnote Text11 Знак,ALTS FOOTNOTE11 Знак,Footnote Text Char111 Знак,Footnote Text Char Char Char11 Знак,ALTS FOOTNOTE2 Знак, Char Char Знак"/>
    <w:basedOn w:val="a0"/>
    <w:link w:val="a5"/>
    <w:uiPriority w:val="99"/>
    <w:rsid w:val="008021D3"/>
    <w:rPr>
      <w:rFonts w:asciiTheme="minorHAnsi" w:eastAsiaTheme="minorHAnsi" w:hAnsiTheme="minorHAnsi" w:cstheme="minorBidi"/>
      <w:lang w:eastAsia="en-US"/>
    </w:rPr>
  </w:style>
  <w:style w:type="character" w:styleId="a7">
    <w:name w:val="footnote reference"/>
    <w:aliases w:val="titulo 2,FC,ftref,referencia nota al pie,Fußnotenzeichen DISS,16 Point,Superscript 6 Point,Style 24,pie pddes,BVI fnr,Footnote,Footnote symbol,Nota,Footnote number,de nota al pie,Ref,SUPERS,Voetnootmarkering,Char1,fr,o,ESPON Footnote No"/>
    <w:uiPriority w:val="99"/>
    <w:qFormat/>
    <w:rsid w:val="008021D3"/>
    <w:rPr>
      <w:rFonts w:cs="Times New Roman"/>
      <w:vertAlign w:val="superscript"/>
    </w:rPr>
  </w:style>
  <w:style w:type="table" w:customStyle="1" w:styleId="5tinkleliolenteltamsi2parykinimas11">
    <w:name w:val="5 tinklelio lentelė (tamsi) – 2 paryškinimas11"/>
    <w:basedOn w:val="a1"/>
    <w:uiPriority w:val="50"/>
    <w:rsid w:val="008021D3"/>
    <w:rPr>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paragraph" w:styleId="a8">
    <w:name w:val="caption"/>
    <w:aliases w:val="Lenteles,Antraštė3"/>
    <w:basedOn w:val="a"/>
    <w:next w:val="a"/>
    <w:link w:val="a9"/>
    <w:unhideWhenUsed/>
    <w:qFormat/>
    <w:rsid w:val="00C36492"/>
    <w:pPr>
      <w:spacing w:after="200" w:line="276" w:lineRule="auto"/>
      <w:ind w:left="567"/>
    </w:pPr>
    <w:rPr>
      <w:b/>
      <w:bCs/>
      <w:szCs w:val="20"/>
      <w:lang w:val="lt-LT" w:eastAsia="en-US"/>
    </w:rPr>
  </w:style>
  <w:style w:type="character" w:customStyle="1" w:styleId="a9">
    <w:name w:val="Название объекта Знак"/>
    <w:aliases w:val="Lenteles Знак,Antraštė3 Знак"/>
    <w:link w:val="a8"/>
    <w:locked/>
    <w:rsid w:val="00C36492"/>
    <w:rPr>
      <w:rFonts w:ascii="Times New Roman" w:hAnsi="Times New Roman"/>
      <w:b/>
      <w:bCs/>
      <w:sz w:val="24"/>
      <w:lang w:val="lt-LT" w:eastAsia="en-US"/>
    </w:rPr>
  </w:style>
  <w:style w:type="table" w:customStyle="1" w:styleId="5tinkleliolenteltamsi2parykinimas1">
    <w:name w:val="5 tinklelio lentelė (tamsi) – 2 paryškinimas1"/>
    <w:basedOn w:val="a1"/>
    <w:uiPriority w:val="50"/>
    <w:rsid w:val="00C36492"/>
    <w:rPr>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Sraopastraipa2">
    <w:name w:val="Sąrašo pastraipa2"/>
    <w:basedOn w:val="a"/>
    <w:uiPriority w:val="34"/>
    <w:qFormat/>
    <w:rsid w:val="00C36492"/>
    <w:pPr>
      <w:ind w:left="720" w:firstLine="360"/>
      <w:contextualSpacing/>
      <w:jc w:val="both"/>
    </w:pPr>
    <w:rPr>
      <w:rFonts w:ascii="Calibri" w:eastAsia="Times New Roman" w:hAnsi="Calibri"/>
      <w:szCs w:val="2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FCA"/>
    <w:rPr>
      <w:rFonts w:ascii="Times New Roman" w:hAnsi="Times New Roman"/>
      <w:sz w:val="24"/>
      <w:szCs w:val="24"/>
    </w:rPr>
  </w:style>
  <w:style w:type="paragraph" w:styleId="1">
    <w:name w:val="heading 1"/>
    <w:basedOn w:val="a"/>
    <w:next w:val="a"/>
    <w:link w:val="10"/>
    <w:uiPriority w:val="99"/>
    <w:qFormat/>
    <w:rsid w:val="00740FCA"/>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740FCA"/>
    <w:pPr>
      <w:keepNext/>
      <w:outlineLvl w:val="1"/>
    </w:pPr>
    <w:rPr>
      <w:b/>
      <w:bCs/>
      <w:color w:val="000000"/>
      <w:sz w:val="20"/>
      <w:szCs w:val="20"/>
      <w:u w:val="single"/>
      <w:lang w:val="en-GB"/>
    </w:rPr>
  </w:style>
  <w:style w:type="paragraph" w:styleId="5">
    <w:name w:val="heading 5"/>
    <w:basedOn w:val="a"/>
    <w:next w:val="a"/>
    <w:link w:val="50"/>
    <w:uiPriority w:val="99"/>
    <w:qFormat/>
    <w:rsid w:val="00740FCA"/>
    <w:pPr>
      <w:keepNext/>
      <w:keepLines/>
      <w:spacing w:before="200"/>
      <w:outlineLvl w:val="4"/>
    </w:pPr>
    <w:rPr>
      <w:rFonts w:ascii="Cambria"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740FCA"/>
    <w:rPr>
      <w:rFonts w:ascii="Cambria" w:hAnsi="Cambria" w:cs="Cambria"/>
      <w:b/>
      <w:bCs/>
      <w:color w:val="365F91"/>
      <w:sz w:val="28"/>
      <w:szCs w:val="28"/>
      <w:lang w:eastAsia="ru-RU"/>
    </w:rPr>
  </w:style>
  <w:style w:type="character" w:customStyle="1" w:styleId="20">
    <w:name w:val="Заголовок 2 Знак"/>
    <w:link w:val="2"/>
    <w:uiPriority w:val="99"/>
    <w:rsid w:val="00740FCA"/>
    <w:rPr>
      <w:rFonts w:ascii="Times New Roman" w:hAnsi="Times New Roman" w:cs="Times New Roman"/>
      <w:b/>
      <w:bCs/>
      <w:color w:val="000000"/>
      <w:sz w:val="20"/>
      <w:szCs w:val="20"/>
      <w:u w:val="single"/>
      <w:lang w:val="en-GB" w:eastAsia="ru-RU"/>
    </w:rPr>
  </w:style>
  <w:style w:type="character" w:customStyle="1" w:styleId="50">
    <w:name w:val="Заголовок 5 Знак"/>
    <w:link w:val="5"/>
    <w:uiPriority w:val="99"/>
    <w:rsid w:val="00740FCA"/>
    <w:rPr>
      <w:rFonts w:ascii="Cambria" w:hAnsi="Cambria" w:cs="Cambria"/>
      <w:color w:val="243F60"/>
      <w:sz w:val="24"/>
      <w:szCs w:val="24"/>
      <w:lang w:val="ru-RU" w:eastAsia="ru-RU"/>
    </w:rPr>
  </w:style>
  <w:style w:type="character" w:styleId="a3">
    <w:name w:val="Emphasis"/>
    <w:uiPriority w:val="99"/>
    <w:qFormat/>
    <w:rsid w:val="00740FCA"/>
    <w:rPr>
      <w:b/>
      <w:bCs/>
    </w:rPr>
  </w:style>
  <w:style w:type="paragraph" w:styleId="a4">
    <w:name w:val="List Paragraph"/>
    <w:basedOn w:val="a"/>
    <w:uiPriority w:val="99"/>
    <w:qFormat/>
    <w:rsid w:val="00740FCA"/>
    <w:pPr>
      <w:ind w:left="720"/>
      <w:contextualSpacing/>
    </w:pPr>
  </w:style>
  <w:style w:type="paragraph" w:styleId="a5">
    <w:name w:val="footnote text"/>
    <w:aliases w:val="Footnote text,Footnote Text Char Char Char,Footnote Text1,Footnote Text2,Footnote Text11,ALTS FOOTNOTE11,Footnote Text Char111,Footnote Text Char Char Char11,Footnote Text Char1 Char Char Char Char11,ALTS FOOTNOTE2, Char Char"/>
    <w:basedOn w:val="a"/>
    <w:link w:val="a6"/>
    <w:uiPriority w:val="99"/>
    <w:unhideWhenUsed/>
    <w:qFormat/>
    <w:rsid w:val="008021D3"/>
    <w:rPr>
      <w:rFonts w:asciiTheme="minorHAnsi" w:eastAsiaTheme="minorHAnsi" w:hAnsiTheme="minorHAnsi" w:cstheme="minorBidi"/>
      <w:sz w:val="20"/>
      <w:szCs w:val="20"/>
      <w:lang w:eastAsia="en-US"/>
    </w:rPr>
  </w:style>
  <w:style w:type="character" w:customStyle="1" w:styleId="a6">
    <w:name w:val="Текст сноски Знак"/>
    <w:aliases w:val="Footnote text Знак,Footnote Text Char Char Char Знак,Footnote Text1 Знак,Footnote Text2 Знак,Footnote Text11 Знак,ALTS FOOTNOTE11 Знак,Footnote Text Char111 Знак,Footnote Text Char Char Char11 Знак,ALTS FOOTNOTE2 Знак, Char Char Знак"/>
    <w:basedOn w:val="a0"/>
    <w:link w:val="a5"/>
    <w:uiPriority w:val="99"/>
    <w:rsid w:val="008021D3"/>
    <w:rPr>
      <w:rFonts w:asciiTheme="minorHAnsi" w:eastAsiaTheme="minorHAnsi" w:hAnsiTheme="minorHAnsi" w:cstheme="minorBidi"/>
      <w:lang w:eastAsia="en-US"/>
    </w:rPr>
  </w:style>
  <w:style w:type="character" w:styleId="a7">
    <w:name w:val="footnote reference"/>
    <w:aliases w:val="titulo 2,FC,ftref,referencia nota al pie,Fußnotenzeichen DISS,16 Point,Superscript 6 Point,Style 24,pie pddes,BVI fnr,Footnote,Footnote symbol,Nota,Footnote number,de nota al pie,Ref,SUPERS,Voetnootmarkering,Char1,fr,o,ESPON Footnote No"/>
    <w:uiPriority w:val="99"/>
    <w:qFormat/>
    <w:rsid w:val="008021D3"/>
    <w:rPr>
      <w:rFonts w:cs="Times New Roman"/>
      <w:vertAlign w:val="superscript"/>
    </w:rPr>
  </w:style>
  <w:style w:type="table" w:customStyle="1" w:styleId="5tinkleliolenteltamsi2parykinimas11">
    <w:name w:val="5 tinklelio lentelė (tamsi) – 2 paryškinimas11"/>
    <w:basedOn w:val="a1"/>
    <w:uiPriority w:val="50"/>
    <w:rsid w:val="008021D3"/>
    <w:rPr>
      <w:lang w:val="en-US"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paragraph" w:styleId="a8">
    <w:name w:val="caption"/>
    <w:aliases w:val="Lenteles,Antraštė3"/>
    <w:basedOn w:val="a"/>
    <w:next w:val="a"/>
    <w:link w:val="a9"/>
    <w:unhideWhenUsed/>
    <w:qFormat/>
    <w:rsid w:val="00C36492"/>
    <w:pPr>
      <w:spacing w:after="200" w:line="276" w:lineRule="auto"/>
      <w:ind w:left="567"/>
    </w:pPr>
    <w:rPr>
      <w:b/>
      <w:bCs/>
      <w:szCs w:val="20"/>
      <w:lang w:val="lt-LT" w:eastAsia="en-US"/>
    </w:rPr>
  </w:style>
  <w:style w:type="character" w:customStyle="1" w:styleId="a9">
    <w:name w:val="Название объекта Знак"/>
    <w:aliases w:val="Lenteles Знак,Antraštė3 Знак"/>
    <w:link w:val="a8"/>
    <w:locked/>
    <w:rsid w:val="00C36492"/>
    <w:rPr>
      <w:rFonts w:ascii="Times New Roman" w:hAnsi="Times New Roman"/>
      <w:b/>
      <w:bCs/>
      <w:sz w:val="24"/>
      <w:lang w:val="lt-LT" w:eastAsia="en-US"/>
    </w:rPr>
  </w:style>
  <w:style w:type="table" w:customStyle="1" w:styleId="5tinkleliolenteltamsi2parykinimas1">
    <w:name w:val="5 tinklelio lentelė (tamsi) – 2 paryškinimas1"/>
    <w:basedOn w:val="a1"/>
    <w:uiPriority w:val="50"/>
    <w:rsid w:val="00C36492"/>
    <w:rPr>
      <w:lang w:val="en-U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Sraopastraipa2">
    <w:name w:val="Sąrašo pastraipa2"/>
    <w:basedOn w:val="a"/>
    <w:uiPriority w:val="34"/>
    <w:qFormat/>
    <w:rsid w:val="00C36492"/>
    <w:pPr>
      <w:ind w:left="720" w:firstLine="360"/>
      <w:contextualSpacing/>
      <w:jc w:val="both"/>
    </w:pPr>
    <w:rPr>
      <w:rFonts w:ascii="Calibri" w:eastAsia="Times New Roman" w:hAnsi="Calibri"/>
      <w:szCs w:val="22"/>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valentyna</cp:lastModifiedBy>
  <cp:revision>2</cp:revision>
  <cp:lastPrinted>2019-03-27T11:36:00Z</cp:lastPrinted>
  <dcterms:created xsi:type="dcterms:W3CDTF">2019-03-27T11:37:00Z</dcterms:created>
  <dcterms:modified xsi:type="dcterms:W3CDTF">2019-03-27T11:37:00Z</dcterms:modified>
</cp:coreProperties>
</file>